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9" w:type="dxa"/>
        <w:tblCellMar>
          <w:left w:w="70" w:type="dxa"/>
          <w:right w:w="70" w:type="dxa"/>
        </w:tblCellMar>
        <w:tblLook w:val="04A0" w:firstRow="1" w:lastRow="0" w:firstColumn="1" w:lastColumn="0" w:noHBand="0" w:noVBand="1"/>
      </w:tblPr>
      <w:tblGrid>
        <w:gridCol w:w="2268"/>
        <w:gridCol w:w="7061"/>
      </w:tblGrid>
      <w:tr w:rsidR="008B1D08" w:rsidRPr="008B1D08" w14:paraId="1C39781C" w14:textId="77777777" w:rsidTr="00807408">
        <w:trPr>
          <w:trHeight w:val="300"/>
        </w:trPr>
        <w:tc>
          <w:tcPr>
            <w:tcW w:w="9329" w:type="dxa"/>
            <w:gridSpan w:val="2"/>
            <w:tcBorders>
              <w:top w:val="nil"/>
              <w:left w:val="nil"/>
              <w:bottom w:val="nil"/>
              <w:right w:val="nil"/>
            </w:tcBorders>
            <w:shd w:val="clear" w:color="auto" w:fill="auto"/>
            <w:noWrap/>
            <w:vAlign w:val="center"/>
            <w:hideMark/>
          </w:tcPr>
          <w:p w14:paraId="6D1365E8" w14:textId="77777777" w:rsidR="008B1D08" w:rsidRPr="008B1D08" w:rsidRDefault="008B1D08" w:rsidP="008B1D08">
            <w:pPr>
              <w:spacing w:after="0" w:line="240" w:lineRule="auto"/>
              <w:jc w:val="center"/>
              <w:rPr>
                <w:rFonts w:ascii="Calibri" w:eastAsia="Times New Roman" w:hAnsi="Calibri" w:cs="Calibri"/>
                <w:b/>
                <w:bCs/>
                <w:sz w:val="36"/>
                <w:szCs w:val="36"/>
                <w:lang w:eastAsia="de-AT"/>
              </w:rPr>
            </w:pPr>
            <w:r w:rsidRPr="008B1D08">
              <w:rPr>
                <w:rFonts w:ascii="Calibri" w:eastAsia="Times New Roman" w:hAnsi="Calibri" w:cstheme="minorHAnsi"/>
                <w:b/>
                <w:bCs/>
                <w:sz w:val="36"/>
                <w:szCs w:val="36"/>
                <w:lang w:eastAsia="de-AT"/>
              </w:rPr>
              <w:t>Übersicht Forderungen an den Bund</w:t>
            </w:r>
          </w:p>
        </w:tc>
      </w:tr>
      <w:tr w:rsidR="008B1D08" w:rsidRPr="008B1D08" w14:paraId="3C4531E7" w14:textId="77777777" w:rsidTr="00807408">
        <w:trPr>
          <w:trHeight w:val="300"/>
        </w:trPr>
        <w:tc>
          <w:tcPr>
            <w:tcW w:w="2268" w:type="dxa"/>
            <w:tcBorders>
              <w:top w:val="nil"/>
              <w:left w:val="nil"/>
              <w:bottom w:val="nil"/>
              <w:right w:val="nil"/>
            </w:tcBorders>
            <w:shd w:val="clear" w:color="auto" w:fill="auto"/>
            <w:noWrap/>
            <w:vAlign w:val="center"/>
            <w:hideMark/>
          </w:tcPr>
          <w:p w14:paraId="63C18357" w14:textId="77777777" w:rsidR="008B1D08" w:rsidRPr="008B1D08" w:rsidRDefault="008B1D08" w:rsidP="008B1D08">
            <w:pPr>
              <w:spacing w:after="0" w:line="240" w:lineRule="auto"/>
              <w:jc w:val="center"/>
              <w:rPr>
                <w:rFonts w:ascii="Calibri" w:eastAsia="Times New Roman" w:hAnsi="Calibri" w:cs="Calibri"/>
                <w:b/>
                <w:bCs/>
                <w:sz w:val="26"/>
                <w:szCs w:val="26"/>
                <w:lang w:eastAsia="de-AT"/>
              </w:rPr>
            </w:pPr>
          </w:p>
        </w:tc>
        <w:tc>
          <w:tcPr>
            <w:tcW w:w="7061" w:type="dxa"/>
            <w:tcBorders>
              <w:top w:val="nil"/>
              <w:left w:val="nil"/>
              <w:bottom w:val="nil"/>
              <w:right w:val="nil"/>
            </w:tcBorders>
            <w:shd w:val="clear" w:color="auto" w:fill="auto"/>
            <w:noWrap/>
            <w:vAlign w:val="center"/>
            <w:hideMark/>
          </w:tcPr>
          <w:p w14:paraId="11D89127" w14:textId="77777777" w:rsidR="008B1D08" w:rsidRPr="008B1D08" w:rsidRDefault="008B1D08" w:rsidP="008B1D08">
            <w:pPr>
              <w:spacing w:after="0" w:line="240" w:lineRule="auto"/>
              <w:rPr>
                <w:rFonts w:ascii="Times New Roman" w:eastAsia="Times New Roman" w:hAnsi="Times New Roman" w:cs="Times New Roman"/>
                <w:sz w:val="20"/>
                <w:szCs w:val="20"/>
                <w:lang w:eastAsia="de-AT"/>
              </w:rPr>
            </w:pPr>
          </w:p>
        </w:tc>
      </w:tr>
      <w:tr w:rsidR="008B1D08" w:rsidRPr="008B1D08" w14:paraId="5AF30C93" w14:textId="77777777" w:rsidTr="00807408">
        <w:trPr>
          <w:trHeight w:val="600"/>
        </w:trPr>
        <w:tc>
          <w:tcPr>
            <w:tcW w:w="2268" w:type="dxa"/>
            <w:tcBorders>
              <w:top w:val="nil"/>
              <w:left w:val="nil"/>
              <w:bottom w:val="nil"/>
              <w:right w:val="nil"/>
            </w:tcBorders>
            <w:shd w:val="clear" w:color="auto" w:fill="auto"/>
            <w:noWrap/>
            <w:hideMark/>
          </w:tcPr>
          <w:p w14:paraId="45982F41" w14:textId="77777777" w:rsidR="008B1D08" w:rsidRPr="008B1D08" w:rsidRDefault="008B1D08" w:rsidP="008B1D08">
            <w:pPr>
              <w:spacing w:after="0" w:line="240" w:lineRule="auto"/>
              <w:rPr>
                <w:rFonts w:ascii="Calibri" w:eastAsia="Times New Roman" w:hAnsi="Calibri" w:cs="Calibri"/>
                <w:b/>
                <w:bCs/>
                <w:color w:val="000000"/>
                <w:lang w:eastAsia="de-AT"/>
              </w:rPr>
            </w:pPr>
            <w:bookmarkStart w:id="0" w:name="_Hlk167434118"/>
            <w:r w:rsidRPr="008B1D08">
              <w:rPr>
                <w:rFonts w:ascii="Calibri" w:eastAsia="Times New Roman" w:hAnsi="Calibri" w:cs="Calibri"/>
                <w:b/>
                <w:bCs/>
                <w:color w:val="000000"/>
                <w:lang w:eastAsia="de-AT"/>
              </w:rPr>
              <w:t>ARBEITSRECHT</w:t>
            </w:r>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99D43" w14:textId="57910644" w:rsidR="008B1D08" w:rsidRPr="008B1D08" w:rsidRDefault="00000000" w:rsidP="008B1D08">
            <w:pPr>
              <w:spacing w:after="0" w:line="240" w:lineRule="auto"/>
              <w:rPr>
                <w:rFonts w:ascii="Calibri" w:eastAsia="Times New Roman" w:hAnsi="Calibri" w:cs="Calibri"/>
                <w:lang w:eastAsia="de-AT"/>
              </w:rPr>
            </w:pPr>
            <w:hyperlink r:id="rId8" w:anchor="RANGE!_Toc167365438" w:history="1">
              <w:r w:rsidR="008B1D08" w:rsidRPr="008B1D08">
                <w:rPr>
                  <w:rFonts w:ascii="Calibri" w:eastAsia="Times New Roman" w:hAnsi="Calibri" w:cs="Calibri"/>
                  <w:lang w:val="de-DE" w:eastAsia="de-AT"/>
                </w:rPr>
                <w:t>6</w:t>
              </w:r>
              <w:r w:rsidR="00366613">
                <w:rPr>
                  <w:rFonts w:ascii="Calibri" w:eastAsia="Times New Roman" w:hAnsi="Calibri" w:cs="Calibri"/>
                  <w:lang w:val="de-DE" w:eastAsia="de-AT"/>
                </w:rPr>
                <w:t xml:space="preserve">. Urlaubswoche </w:t>
              </w:r>
              <w:r w:rsidR="008B1D08" w:rsidRPr="008B1D08">
                <w:rPr>
                  <w:rFonts w:ascii="Calibri" w:eastAsia="Times New Roman" w:hAnsi="Calibri" w:cs="Calibri"/>
                  <w:lang w:val="de-DE" w:eastAsia="de-AT"/>
                </w:rPr>
                <w:t>ab dem 43. Lebensjahr für alle Arbeitnehmer:</w:t>
              </w:r>
              <w:r w:rsidR="00DA4323">
                <w:rPr>
                  <w:rFonts w:ascii="Calibri" w:eastAsia="Times New Roman" w:hAnsi="Calibri" w:cs="Calibri"/>
                  <w:lang w:val="de-DE" w:eastAsia="de-AT"/>
                </w:rPr>
                <w:t>i</w:t>
              </w:r>
              <w:r w:rsidR="008B1D08" w:rsidRPr="008B1D08">
                <w:rPr>
                  <w:rFonts w:ascii="Calibri" w:eastAsia="Times New Roman" w:hAnsi="Calibri" w:cs="Calibri"/>
                  <w:lang w:val="de-DE" w:eastAsia="de-AT"/>
                </w:rPr>
                <w:t>nnen wie im öffentlichen Dienstrecht</w:t>
              </w:r>
            </w:hyperlink>
          </w:p>
        </w:tc>
      </w:tr>
      <w:tr w:rsidR="008B1D08" w:rsidRPr="008B1D08" w14:paraId="4D95E63D" w14:textId="77777777" w:rsidTr="00807408">
        <w:trPr>
          <w:trHeight w:val="600"/>
        </w:trPr>
        <w:tc>
          <w:tcPr>
            <w:tcW w:w="2268" w:type="dxa"/>
            <w:tcBorders>
              <w:top w:val="nil"/>
              <w:left w:val="nil"/>
              <w:bottom w:val="nil"/>
              <w:right w:val="nil"/>
            </w:tcBorders>
            <w:shd w:val="clear" w:color="auto" w:fill="auto"/>
            <w:noWrap/>
            <w:hideMark/>
          </w:tcPr>
          <w:p w14:paraId="39363959"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7042CBEB" w14:textId="77777777" w:rsidR="008B1D08" w:rsidRPr="008B1D08" w:rsidRDefault="00000000" w:rsidP="008B1D08">
            <w:pPr>
              <w:spacing w:after="0" w:line="240" w:lineRule="auto"/>
              <w:rPr>
                <w:rFonts w:ascii="Calibri" w:eastAsia="Times New Roman" w:hAnsi="Calibri" w:cs="Calibri"/>
                <w:lang w:eastAsia="de-AT"/>
              </w:rPr>
            </w:pPr>
            <w:hyperlink r:id="rId9" w:anchor="RANGE!_Toc167365439" w:history="1">
              <w:r w:rsidR="008B1D08" w:rsidRPr="008B1D08">
                <w:rPr>
                  <w:rFonts w:ascii="Calibri" w:eastAsia="Times New Roman" w:hAnsi="Calibri" w:cs="Calibri"/>
                  <w:lang w:val="de-DE" w:eastAsia="de-AT"/>
                </w:rPr>
                <w:t>Wahlgerichtsstände des Wohnorts und des Arbeitsorts auch bei Kündigungs- und Entlassungsanfechtungen</w:t>
              </w:r>
            </w:hyperlink>
          </w:p>
        </w:tc>
      </w:tr>
      <w:tr w:rsidR="008B1D08" w:rsidRPr="008B1D08" w14:paraId="41310229" w14:textId="77777777" w:rsidTr="00807408">
        <w:trPr>
          <w:trHeight w:val="300"/>
        </w:trPr>
        <w:tc>
          <w:tcPr>
            <w:tcW w:w="2268" w:type="dxa"/>
            <w:tcBorders>
              <w:top w:val="nil"/>
              <w:left w:val="nil"/>
              <w:bottom w:val="nil"/>
              <w:right w:val="nil"/>
            </w:tcBorders>
            <w:shd w:val="clear" w:color="auto" w:fill="auto"/>
            <w:noWrap/>
            <w:hideMark/>
          </w:tcPr>
          <w:p w14:paraId="0AAE9359"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665760FF" w14:textId="77777777" w:rsidR="008B1D08" w:rsidRPr="008B1D08" w:rsidRDefault="00000000" w:rsidP="008B1D08">
            <w:pPr>
              <w:spacing w:after="0" w:line="240" w:lineRule="auto"/>
              <w:rPr>
                <w:rFonts w:ascii="Calibri" w:eastAsia="Times New Roman" w:hAnsi="Calibri" w:cs="Calibri"/>
                <w:lang w:eastAsia="de-AT"/>
              </w:rPr>
            </w:pPr>
            <w:hyperlink r:id="rId10" w:anchor="RANGE!_Toc167365440" w:history="1">
              <w:r w:rsidR="008B1D08" w:rsidRPr="008B1D08">
                <w:rPr>
                  <w:rFonts w:ascii="Calibri" w:eastAsia="Times New Roman" w:hAnsi="Calibri" w:cs="Calibri"/>
                  <w:lang w:val="de-DE" w:eastAsia="de-AT"/>
                </w:rPr>
                <w:t>Bezahlte Bildungsfreistellung auch für Betriebsräte in Kleinbetrieben</w:t>
              </w:r>
            </w:hyperlink>
          </w:p>
        </w:tc>
      </w:tr>
      <w:tr w:rsidR="008B1D08" w:rsidRPr="008B1D08" w14:paraId="4EE92DD6" w14:textId="77777777" w:rsidTr="00807408">
        <w:trPr>
          <w:trHeight w:val="300"/>
        </w:trPr>
        <w:tc>
          <w:tcPr>
            <w:tcW w:w="2268" w:type="dxa"/>
            <w:tcBorders>
              <w:top w:val="nil"/>
              <w:left w:val="nil"/>
              <w:bottom w:val="nil"/>
              <w:right w:val="nil"/>
            </w:tcBorders>
            <w:shd w:val="clear" w:color="auto" w:fill="auto"/>
            <w:noWrap/>
            <w:hideMark/>
          </w:tcPr>
          <w:p w14:paraId="102CAB79"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1CBB0CDD" w14:textId="77777777" w:rsidR="008B1D08" w:rsidRPr="008B1D08" w:rsidRDefault="00000000" w:rsidP="008B1D08">
            <w:pPr>
              <w:spacing w:after="0" w:line="240" w:lineRule="auto"/>
              <w:rPr>
                <w:rFonts w:ascii="Calibri" w:eastAsia="Times New Roman" w:hAnsi="Calibri" w:cs="Calibri"/>
                <w:lang w:eastAsia="de-AT"/>
              </w:rPr>
            </w:pPr>
            <w:hyperlink r:id="rId11" w:anchor="RANGE!_Toc167365441" w:history="1">
              <w:r w:rsidR="008B1D08" w:rsidRPr="008B1D08">
                <w:rPr>
                  <w:rFonts w:ascii="Calibri" w:eastAsia="Times New Roman" w:hAnsi="Calibri" w:cs="Calibri"/>
                  <w:lang w:val="de-DE" w:eastAsia="de-AT"/>
                </w:rPr>
                <w:t>Bezahlte einwöchige Dienstfreistellung zur Lehrabschluss-Vorbereitung</w:t>
              </w:r>
            </w:hyperlink>
          </w:p>
        </w:tc>
      </w:tr>
      <w:bookmarkEnd w:id="0"/>
      <w:tr w:rsidR="008B1D08" w:rsidRPr="008B1D08" w14:paraId="6B80C89C" w14:textId="77777777" w:rsidTr="00807408">
        <w:trPr>
          <w:trHeight w:val="300"/>
        </w:trPr>
        <w:tc>
          <w:tcPr>
            <w:tcW w:w="2268" w:type="dxa"/>
            <w:tcBorders>
              <w:top w:val="nil"/>
              <w:left w:val="nil"/>
              <w:bottom w:val="nil"/>
              <w:right w:val="nil"/>
            </w:tcBorders>
            <w:shd w:val="clear" w:color="auto" w:fill="auto"/>
            <w:noWrap/>
            <w:hideMark/>
          </w:tcPr>
          <w:p w14:paraId="62904361"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nil"/>
              <w:bottom w:val="nil"/>
              <w:right w:val="nil"/>
            </w:tcBorders>
            <w:shd w:val="clear" w:color="auto" w:fill="auto"/>
            <w:vAlign w:val="center"/>
            <w:hideMark/>
          </w:tcPr>
          <w:p w14:paraId="5375DBDE" w14:textId="77777777" w:rsidR="008B1D08" w:rsidRPr="008B1D08" w:rsidRDefault="008B1D08" w:rsidP="008B1D08">
            <w:pPr>
              <w:spacing w:after="0" w:line="240" w:lineRule="auto"/>
              <w:rPr>
                <w:rFonts w:ascii="Times New Roman" w:eastAsia="Times New Roman" w:hAnsi="Times New Roman" w:cs="Times New Roman"/>
                <w:sz w:val="20"/>
                <w:szCs w:val="20"/>
                <w:lang w:eastAsia="de-AT"/>
              </w:rPr>
            </w:pPr>
          </w:p>
        </w:tc>
      </w:tr>
      <w:tr w:rsidR="008B1D08" w:rsidRPr="008B1D08" w14:paraId="7B2AB071" w14:textId="77777777" w:rsidTr="00807408">
        <w:trPr>
          <w:trHeight w:val="300"/>
        </w:trPr>
        <w:tc>
          <w:tcPr>
            <w:tcW w:w="2268" w:type="dxa"/>
            <w:tcBorders>
              <w:top w:val="nil"/>
              <w:left w:val="nil"/>
              <w:bottom w:val="nil"/>
              <w:right w:val="nil"/>
            </w:tcBorders>
            <w:shd w:val="clear" w:color="auto" w:fill="auto"/>
            <w:noWrap/>
            <w:hideMark/>
          </w:tcPr>
          <w:p w14:paraId="469CF744" w14:textId="77777777" w:rsidR="008B1D08" w:rsidRPr="008B1D08" w:rsidRDefault="008B1D08" w:rsidP="008B1D08">
            <w:pPr>
              <w:spacing w:after="0" w:line="240" w:lineRule="auto"/>
              <w:rPr>
                <w:rFonts w:ascii="Calibri" w:eastAsia="Times New Roman" w:hAnsi="Calibri" w:cs="Calibri"/>
                <w:b/>
                <w:bCs/>
                <w:color w:val="000000"/>
                <w:lang w:eastAsia="de-AT"/>
              </w:rPr>
            </w:pPr>
            <w:r w:rsidRPr="008B1D08">
              <w:rPr>
                <w:rFonts w:ascii="Calibri" w:eastAsia="Times New Roman" w:hAnsi="Calibri" w:cs="Calibri"/>
                <w:b/>
                <w:bCs/>
                <w:color w:val="000000"/>
                <w:lang w:eastAsia="de-AT"/>
              </w:rPr>
              <w:t>ARBEITSMARKT</w:t>
            </w:r>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6C971" w14:textId="77777777" w:rsidR="008B1D08" w:rsidRPr="008B1D08" w:rsidRDefault="00000000" w:rsidP="008B1D08">
            <w:pPr>
              <w:spacing w:after="0" w:line="240" w:lineRule="auto"/>
              <w:rPr>
                <w:rFonts w:ascii="Calibri" w:eastAsia="Times New Roman" w:hAnsi="Calibri" w:cs="Calibri"/>
                <w:lang w:eastAsia="de-AT"/>
              </w:rPr>
            </w:pPr>
            <w:hyperlink r:id="rId12" w:anchor="RANGE!_Toc167365443" w:history="1">
              <w:r w:rsidR="008B1D08" w:rsidRPr="008B1D08">
                <w:rPr>
                  <w:rFonts w:ascii="Calibri" w:eastAsia="Times New Roman" w:hAnsi="Calibri" w:cs="Calibri"/>
                  <w:lang w:val="de-DE" w:eastAsia="de-AT"/>
                </w:rPr>
                <w:t>Keine degressive Gestaltung des Arbeitslosengeldes.</w:t>
              </w:r>
            </w:hyperlink>
          </w:p>
        </w:tc>
      </w:tr>
      <w:tr w:rsidR="008B1D08" w:rsidRPr="008B1D08" w14:paraId="01A5213E" w14:textId="77777777" w:rsidTr="00807408">
        <w:trPr>
          <w:trHeight w:val="300"/>
        </w:trPr>
        <w:tc>
          <w:tcPr>
            <w:tcW w:w="2268" w:type="dxa"/>
            <w:tcBorders>
              <w:top w:val="nil"/>
              <w:left w:val="nil"/>
              <w:bottom w:val="nil"/>
              <w:right w:val="nil"/>
            </w:tcBorders>
            <w:shd w:val="clear" w:color="auto" w:fill="auto"/>
            <w:noWrap/>
            <w:hideMark/>
          </w:tcPr>
          <w:p w14:paraId="2FBFC854"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6B74F9EE" w14:textId="609800E8" w:rsidR="008B1D08" w:rsidRPr="008B1D08" w:rsidRDefault="00000000" w:rsidP="008B1D08">
            <w:pPr>
              <w:spacing w:after="0" w:line="240" w:lineRule="auto"/>
              <w:rPr>
                <w:rFonts w:ascii="Calibri" w:eastAsia="Times New Roman" w:hAnsi="Calibri" w:cs="Calibri"/>
                <w:lang w:eastAsia="de-AT"/>
              </w:rPr>
            </w:pPr>
            <w:hyperlink r:id="rId13" w:anchor="RANGE!_Toc167365444" w:history="1">
              <w:r w:rsidR="008B1D08" w:rsidRPr="008B1D08">
                <w:rPr>
                  <w:rFonts w:ascii="Calibri" w:eastAsia="Times New Roman" w:hAnsi="Calibri" w:cs="Calibri"/>
                  <w:lang w:val="de-DE" w:eastAsia="de-AT"/>
                </w:rPr>
                <w:t>Recht auf Weiterbildung in der Arbeitslosigkeit.</w:t>
              </w:r>
            </w:hyperlink>
          </w:p>
        </w:tc>
      </w:tr>
      <w:tr w:rsidR="00807408" w:rsidRPr="008B1D08" w14:paraId="10BC9EF1" w14:textId="77777777" w:rsidTr="00807408">
        <w:trPr>
          <w:trHeight w:val="300"/>
        </w:trPr>
        <w:tc>
          <w:tcPr>
            <w:tcW w:w="2268" w:type="dxa"/>
            <w:tcBorders>
              <w:top w:val="nil"/>
              <w:left w:val="nil"/>
              <w:bottom w:val="nil"/>
              <w:right w:val="nil"/>
            </w:tcBorders>
            <w:shd w:val="clear" w:color="auto" w:fill="auto"/>
            <w:noWrap/>
          </w:tcPr>
          <w:p w14:paraId="76138C32" w14:textId="77777777" w:rsidR="00807408" w:rsidRDefault="00807408" w:rsidP="008B1D08">
            <w:pPr>
              <w:spacing w:after="0" w:line="240" w:lineRule="auto"/>
              <w:rPr>
                <w:rFonts w:ascii="Calibri" w:eastAsia="Times New Roman" w:hAnsi="Calibri" w:cs="Calibri"/>
                <w:lang w:eastAsia="de-AT"/>
              </w:rPr>
            </w:pPr>
          </w:p>
        </w:tc>
        <w:tc>
          <w:tcPr>
            <w:tcW w:w="7061" w:type="dxa"/>
            <w:tcBorders>
              <w:top w:val="nil"/>
              <w:left w:val="nil"/>
              <w:bottom w:val="single" w:sz="4" w:space="0" w:color="auto"/>
              <w:right w:val="nil"/>
            </w:tcBorders>
            <w:shd w:val="clear" w:color="auto" w:fill="auto"/>
            <w:vAlign w:val="center"/>
          </w:tcPr>
          <w:p w14:paraId="66F644DC" w14:textId="77777777" w:rsidR="00807408" w:rsidRPr="008B1D08" w:rsidRDefault="00807408" w:rsidP="008B1D08">
            <w:pPr>
              <w:spacing w:after="0" w:line="240" w:lineRule="auto"/>
              <w:rPr>
                <w:rFonts w:ascii="Times New Roman" w:eastAsia="Times New Roman" w:hAnsi="Times New Roman" w:cs="Times New Roman"/>
                <w:sz w:val="20"/>
                <w:szCs w:val="20"/>
                <w:lang w:eastAsia="de-AT"/>
              </w:rPr>
            </w:pPr>
          </w:p>
        </w:tc>
      </w:tr>
      <w:tr w:rsidR="00807408" w:rsidRPr="00807408" w14:paraId="20E5F6F8" w14:textId="77777777" w:rsidTr="00807408">
        <w:trPr>
          <w:trHeight w:val="300"/>
        </w:trPr>
        <w:tc>
          <w:tcPr>
            <w:tcW w:w="2268" w:type="dxa"/>
            <w:tcBorders>
              <w:top w:val="nil"/>
              <w:left w:val="nil"/>
              <w:bottom w:val="nil"/>
              <w:right w:val="single" w:sz="4" w:space="0" w:color="auto"/>
            </w:tcBorders>
            <w:shd w:val="clear" w:color="auto" w:fill="auto"/>
            <w:noWrap/>
          </w:tcPr>
          <w:p w14:paraId="0082853F" w14:textId="77777777" w:rsidR="00807408" w:rsidRPr="00807408" w:rsidRDefault="00807408" w:rsidP="00807408">
            <w:pPr>
              <w:spacing w:after="0" w:line="240" w:lineRule="auto"/>
              <w:rPr>
                <w:rFonts w:ascii="Calibri" w:eastAsia="Times New Roman" w:hAnsi="Calibri" w:cs="Calibri"/>
                <w:b/>
                <w:bCs/>
                <w:lang w:eastAsia="de-AT"/>
              </w:rPr>
            </w:pPr>
            <w:r w:rsidRPr="00807408">
              <w:rPr>
                <w:rFonts w:ascii="Calibri" w:eastAsia="Times New Roman" w:hAnsi="Calibri" w:cs="Calibri"/>
                <w:b/>
                <w:bCs/>
                <w:lang w:eastAsia="de-AT"/>
              </w:rPr>
              <w:t>WIRTSCHAFTSPOLITIK</w:t>
            </w:r>
          </w:p>
          <w:p w14:paraId="3232FE90" w14:textId="77777777" w:rsidR="00807408" w:rsidRDefault="00807408" w:rsidP="008B1D08">
            <w:pPr>
              <w:spacing w:after="0" w:line="240" w:lineRule="auto"/>
              <w:rPr>
                <w:rFonts w:ascii="Calibri" w:eastAsia="Times New Roman" w:hAnsi="Calibri" w:cs="Calibri"/>
                <w:lang w:eastAsia="de-AT"/>
              </w:rPr>
            </w:pPr>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tcPr>
          <w:p w14:paraId="695C9C52" w14:textId="04C51EFC" w:rsidR="00807408" w:rsidRPr="00807408" w:rsidRDefault="00807408" w:rsidP="008B1D08">
            <w:pPr>
              <w:spacing w:after="0" w:line="240" w:lineRule="auto"/>
              <w:rPr>
                <w:rFonts w:ascii="Calibri" w:eastAsia="Times New Roman" w:hAnsi="Calibri" w:cs="Calibri"/>
                <w:lang w:val="de-DE" w:eastAsia="de-AT"/>
              </w:rPr>
            </w:pPr>
            <w:r w:rsidRPr="00807408">
              <w:rPr>
                <w:rFonts w:ascii="Calibri" w:eastAsia="Times New Roman" w:hAnsi="Calibri" w:cs="Calibri"/>
                <w:lang w:val="de-DE" w:eastAsia="de-AT"/>
              </w:rPr>
              <w:t>Anpassung des Veranlagungsfreibetrags</w:t>
            </w:r>
          </w:p>
        </w:tc>
      </w:tr>
      <w:tr w:rsidR="00807408" w:rsidRPr="00807408" w14:paraId="6C40D316" w14:textId="77777777" w:rsidTr="00807408">
        <w:trPr>
          <w:trHeight w:val="300"/>
        </w:trPr>
        <w:tc>
          <w:tcPr>
            <w:tcW w:w="2268" w:type="dxa"/>
            <w:tcBorders>
              <w:top w:val="nil"/>
              <w:left w:val="nil"/>
              <w:bottom w:val="nil"/>
              <w:right w:val="single" w:sz="4" w:space="0" w:color="auto"/>
            </w:tcBorders>
            <w:shd w:val="clear" w:color="auto" w:fill="auto"/>
            <w:noWrap/>
          </w:tcPr>
          <w:p w14:paraId="408C0550" w14:textId="77777777" w:rsidR="00807408" w:rsidRDefault="00807408" w:rsidP="008B1D08">
            <w:pPr>
              <w:spacing w:after="0" w:line="240" w:lineRule="auto"/>
              <w:rPr>
                <w:rFonts w:ascii="Calibri" w:eastAsia="Times New Roman" w:hAnsi="Calibri" w:cs="Calibri"/>
                <w:lang w:eastAsia="de-AT"/>
              </w:rPr>
            </w:pPr>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tcPr>
          <w:p w14:paraId="56B4AC3F" w14:textId="399B8B12" w:rsidR="00807408" w:rsidRPr="00807408" w:rsidRDefault="00807408" w:rsidP="008B1D08">
            <w:pPr>
              <w:spacing w:after="0" w:line="240" w:lineRule="auto"/>
              <w:rPr>
                <w:rFonts w:ascii="Calibri" w:eastAsia="Times New Roman" w:hAnsi="Calibri" w:cs="Calibri"/>
                <w:lang w:val="de-DE" w:eastAsia="de-AT"/>
              </w:rPr>
            </w:pPr>
            <w:r w:rsidRPr="00807408">
              <w:rPr>
                <w:rFonts w:ascii="Calibri" w:eastAsia="Times New Roman" w:hAnsi="Calibri" w:cs="Calibri"/>
                <w:lang w:val="de-DE" w:eastAsia="de-AT"/>
              </w:rPr>
              <w:t>Inflationsanpassung der Behindertenfreibeträge im Steuerrecht</w:t>
            </w:r>
          </w:p>
        </w:tc>
      </w:tr>
      <w:tr w:rsidR="00807408" w:rsidRPr="00807408" w14:paraId="6260784C" w14:textId="77777777" w:rsidTr="00807408">
        <w:trPr>
          <w:trHeight w:val="300"/>
        </w:trPr>
        <w:tc>
          <w:tcPr>
            <w:tcW w:w="2268" w:type="dxa"/>
            <w:tcBorders>
              <w:top w:val="nil"/>
              <w:left w:val="nil"/>
              <w:bottom w:val="nil"/>
              <w:right w:val="single" w:sz="4" w:space="0" w:color="auto"/>
            </w:tcBorders>
            <w:shd w:val="clear" w:color="auto" w:fill="auto"/>
            <w:noWrap/>
          </w:tcPr>
          <w:p w14:paraId="5CCB9C9A" w14:textId="77777777" w:rsidR="00807408" w:rsidRDefault="00807408" w:rsidP="008B1D08">
            <w:pPr>
              <w:spacing w:after="0" w:line="240" w:lineRule="auto"/>
              <w:rPr>
                <w:rFonts w:ascii="Calibri" w:eastAsia="Times New Roman" w:hAnsi="Calibri" w:cs="Calibri"/>
                <w:lang w:eastAsia="de-AT"/>
              </w:rPr>
            </w:pPr>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tcPr>
          <w:p w14:paraId="0A43B416" w14:textId="11DB2B52" w:rsidR="00807408" w:rsidRPr="00807408" w:rsidRDefault="00807408" w:rsidP="008B1D08">
            <w:pPr>
              <w:spacing w:after="0" w:line="240" w:lineRule="auto"/>
              <w:rPr>
                <w:rFonts w:ascii="Calibri" w:eastAsia="Times New Roman" w:hAnsi="Calibri" w:cs="Calibri"/>
                <w:lang w:val="de-DE" w:eastAsia="de-AT"/>
              </w:rPr>
            </w:pPr>
            <w:r w:rsidRPr="00807408">
              <w:rPr>
                <w:rFonts w:ascii="Calibri" w:eastAsia="Times New Roman" w:hAnsi="Calibri" w:cs="Calibri"/>
                <w:lang w:val="de-DE" w:eastAsia="de-AT"/>
              </w:rPr>
              <w:t>Anpassung der Tagesdiäten, der Nächtigungspauschale und des Kilometergelds an die Geldentwertung der letzten Jahre</w:t>
            </w:r>
          </w:p>
        </w:tc>
      </w:tr>
      <w:tr w:rsidR="00807408" w:rsidRPr="00807408" w14:paraId="5476E9AD" w14:textId="77777777" w:rsidTr="00807408">
        <w:trPr>
          <w:trHeight w:val="300"/>
        </w:trPr>
        <w:tc>
          <w:tcPr>
            <w:tcW w:w="2268" w:type="dxa"/>
            <w:tcBorders>
              <w:top w:val="nil"/>
              <w:left w:val="nil"/>
              <w:bottom w:val="nil"/>
              <w:right w:val="single" w:sz="4" w:space="0" w:color="auto"/>
            </w:tcBorders>
            <w:shd w:val="clear" w:color="auto" w:fill="auto"/>
            <w:noWrap/>
          </w:tcPr>
          <w:p w14:paraId="3B6296D0" w14:textId="77777777" w:rsidR="00807408" w:rsidRDefault="00807408" w:rsidP="008B1D08">
            <w:pPr>
              <w:spacing w:after="0" w:line="240" w:lineRule="auto"/>
              <w:rPr>
                <w:rFonts w:ascii="Calibri" w:eastAsia="Times New Roman" w:hAnsi="Calibri" w:cs="Calibri"/>
                <w:lang w:eastAsia="de-AT"/>
              </w:rPr>
            </w:pPr>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tcPr>
          <w:p w14:paraId="50407936" w14:textId="2111D729" w:rsidR="00807408" w:rsidRPr="00807408" w:rsidRDefault="00807408" w:rsidP="008B1D08">
            <w:pPr>
              <w:spacing w:after="0" w:line="240" w:lineRule="auto"/>
              <w:rPr>
                <w:rFonts w:ascii="Calibri" w:eastAsia="Times New Roman" w:hAnsi="Calibri" w:cs="Calibri"/>
                <w:lang w:val="de-DE" w:eastAsia="de-AT"/>
              </w:rPr>
            </w:pPr>
            <w:r w:rsidRPr="00807408">
              <w:rPr>
                <w:rFonts w:ascii="Calibri" w:eastAsia="Times New Roman" w:hAnsi="Calibri" w:cs="Calibri"/>
                <w:lang w:val="de-DE" w:eastAsia="de-AT"/>
              </w:rPr>
              <w:t>Die Pendlerpauschale in einen kilometerabhängigen Absetzbetrag umwandeln</w:t>
            </w:r>
          </w:p>
        </w:tc>
      </w:tr>
      <w:tr w:rsidR="008B1D08" w:rsidRPr="008B1D08" w14:paraId="358449A5" w14:textId="77777777" w:rsidTr="00807408">
        <w:trPr>
          <w:trHeight w:val="300"/>
        </w:trPr>
        <w:tc>
          <w:tcPr>
            <w:tcW w:w="2268" w:type="dxa"/>
            <w:tcBorders>
              <w:top w:val="nil"/>
              <w:left w:val="nil"/>
              <w:bottom w:val="nil"/>
              <w:right w:val="nil"/>
            </w:tcBorders>
            <w:shd w:val="clear" w:color="auto" w:fill="auto"/>
            <w:noWrap/>
            <w:hideMark/>
          </w:tcPr>
          <w:p w14:paraId="36F8EBB7" w14:textId="0C82671C" w:rsidR="00807408" w:rsidRPr="008B1D08" w:rsidRDefault="00807408" w:rsidP="008B1D08">
            <w:pPr>
              <w:spacing w:after="0" w:line="240" w:lineRule="auto"/>
              <w:rPr>
                <w:rFonts w:ascii="Calibri" w:eastAsia="Times New Roman" w:hAnsi="Calibri" w:cs="Calibri"/>
                <w:lang w:eastAsia="de-AT"/>
              </w:rPr>
            </w:pPr>
          </w:p>
        </w:tc>
        <w:tc>
          <w:tcPr>
            <w:tcW w:w="7061" w:type="dxa"/>
            <w:tcBorders>
              <w:top w:val="nil"/>
              <w:left w:val="nil"/>
              <w:bottom w:val="nil"/>
              <w:right w:val="nil"/>
            </w:tcBorders>
            <w:shd w:val="clear" w:color="auto" w:fill="auto"/>
            <w:vAlign w:val="center"/>
            <w:hideMark/>
          </w:tcPr>
          <w:p w14:paraId="06779B0F" w14:textId="6B2661A2" w:rsidR="008B1D08" w:rsidRPr="008B1D08" w:rsidRDefault="008B1D08" w:rsidP="008B1D08">
            <w:pPr>
              <w:spacing w:after="0" w:line="240" w:lineRule="auto"/>
              <w:rPr>
                <w:rFonts w:ascii="Times New Roman" w:eastAsia="Times New Roman" w:hAnsi="Times New Roman" w:cs="Times New Roman"/>
                <w:sz w:val="20"/>
                <w:szCs w:val="20"/>
                <w:lang w:eastAsia="de-AT"/>
              </w:rPr>
            </w:pPr>
          </w:p>
        </w:tc>
      </w:tr>
      <w:tr w:rsidR="008B1D08" w:rsidRPr="008B1D08" w14:paraId="7B4EF21C" w14:textId="77777777" w:rsidTr="00807408">
        <w:trPr>
          <w:trHeight w:val="600"/>
        </w:trPr>
        <w:tc>
          <w:tcPr>
            <w:tcW w:w="2268" w:type="dxa"/>
            <w:tcBorders>
              <w:top w:val="nil"/>
              <w:left w:val="nil"/>
              <w:bottom w:val="nil"/>
              <w:right w:val="nil"/>
            </w:tcBorders>
            <w:shd w:val="clear" w:color="auto" w:fill="auto"/>
            <w:noWrap/>
            <w:hideMark/>
          </w:tcPr>
          <w:p w14:paraId="2F0A0573" w14:textId="77777777" w:rsidR="008B1D08" w:rsidRPr="008B1D08" w:rsidRDefault="00000000" w:rsidP="008B1D08">
            <w:pPr>
              <w:spacing w:after="0" w:line="240" w:lineRule="auto"/>
              <w:rPr>
                <w:rFonts w:ascii="Calibri" w:eastAsia="Times New Roman" w:hAnsi="Calibri" w:cs="Calibri"/>
                <w:b/>
                <w:bCs/>
                <w:lang w:eastAsia="de-AT"/>
              </w:rPr>
            </w:pPr>
            <w:hyperlink r:id="rId14" w:anchor="RANGE!_Toc167365445" w:history="1">
              <w:r w:rsidR="008B1D08" w:rsidRPr="008B1D08">
                <w:rPr>
                  <w:rFonts w:ascii="Calibri" w:eastAsia="Times New Roman" w:hAnsi="Calibri" w:cs="Calibri"/>
                  <w:b/>
                  <w:bCs/>
                  <w:lang w:val="de-DE" w:eastAsia="de-AT"/>
                </w:rPr>
                <w:t>SOZIALES</w:t>
              </w:r>
            </w:hyperlink>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FE3B2" w14:textId="71AA4281" w:rsidR="008B1D08" w:rsidRPr="008B1D08" w:rsidRDefault="00000000" w:rsidP="008B1D08">
            <w:pPr>
              <w:spacing w:after="0" w:line="240" w:lineRule="auto"/>
              <w:rPr>
                <w:rFonts w:ascii="Calibri" w:eastAsia="Times New Roman" w:hAnsi="Calibri" w:cs="Calibri"/>
                <w:lang w:eastAsia="de-AT"/>
              </w:rPr>
            </w:pPr>
            <w:hyperlink r:id="rId15" w:anchor="RANGE!_Toc167365446" w:history="1">
              <w:r w:rsidR="008B1D08" w:rsidRPr="008B1D08">
                <w:rPr>
                  <w:rFonts w:ascii="Calibri" w:eastAsia="Times New Roman" w:hAnsi="Calibri" w:cs="Calibri"/>
                  <w:lang w:val="de-DE" w:eastAsia="de-AT"/>
                </w:rPr>
                <w:t>Schwerarbeitspension: „Beruf</w:t>
              </w:r>
              <w:r w:rsidR="00DA4323">
                <w:rPr>
                  <w:rFonts w:ascii="Calibri" w:eastAsia="Times New Roman" w:hAnsi="Calibri" w:cs="Calibri"/>
                  <w:lang w:val="de-DE" w:eastAsia="de-AT"/>
                </w:rPr>
                <w:t>s</w:t>
              </w:r>
              <w:r w:rsidR="008B1D08" w:rsidRPr="008B1D08">
                <w:rPr>
                  <w:rFonts w:ascii="Calibri" w:eastAsia="Times New Roman" w:hAnsi="Calibri" w:cs="Calibri"/>
                  <w:lang w:val="de-DE" w:eastAsia="de-AT"/>
                </w:rPr>
                <w:t>liste“ soll als Teil der Schwerarbeitsverordnung rechtsverbindlich sein</w:t>
              </w:r>
            </w:hyperlink>
          </w:p>
        </w:tc>
      </w:tr>
      <w:tr w:rsidR="008B1D08" w:rsidRPr="008B1D08" w14:paraId="7CCE180A" w14:textId="77777777" w:rsidTr="00807408">
        <w:trPr>
          <w:trHeight w:val="300"/>
        </w:trPr>
        <w:tc>
          <w:tcPr>
            <w:tcW w:w="2268" w:type="dxa"/>
            <w:tcBorders>
              <w:top w:val="nil"/>
              <w:left w:val="nil"/>
              <w:bottom w:val="nil"/>
              <w:right w:val="nil"/>
            </w:tcBorders>
            <w:shd w:val="clear" w:color="auto" w:fill="auto"/>
            <w:noWrap/>
            <w:hideMark/>
          </w:tcPr>
          <w:p w14:paraId="1EAB2332"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2671F4EE" w14:textId="77777777" w:rsidR="008B1D08" w:rsidRPr="008B1D08" w:rsidRDefault="00000000" w:rsidP="008B1D08">
            <w:pPr>
              <w:spacing w:after="0" w:line="240" w:lineRule="auto"/>
              <w:rPr>
                <w:rFonts w:ascii="Calibri" w:eastAsia="Times New Roman" w:hAnsi="Calibri" w:cs="Calibri"/>
                <w:lang w:eastAsia="de-AT"/>
              </w:rPr>
            </w:pPr>
            <w:hyperlink r:id="rId16" w:anchor="RANGE!_Toc167365447" w:history="1">
              <w:r w:rsidR="008B1D08" w:rsidRPr="008B1D08">
                <w:rPr>
                  <w:rFonts w:ascii="Calibri" w:eastAsia="Times New Roman" w:hAnsi="Calibri" w:cs="Calibri"/>
                  <w:lang w:val="de-DE" w:eastAsia="de-AT"/>
                </w:rPr>
                <w:t>Ausbau der kontinuierlichen Altersteilzeit auf 7 Jahre mit Rechtsanspruch</w:t>
              </w:r>
            </w:hyperlink>
          </w:p>
        </w:tc>
      </w:tr>
      <w:tr w:rsidR="008B1D08" w:rsidRPr="008B1D08" w14:paraId="5D7A10F9" w14:textId="77777777" w:rsidTr="00807408">
        <w:trPr>
          <w:trHeight w:val="300"/>
        </w:trPr>
        <w:tc>
          <w:tcPr>
            <w:tcW w:w="2268" w:type="dxa"/>
            <w:tcBorders>
              <w:top w:val="nil"/>
              <w:left w:val="nil"/>
              <w:bottom w:val="nil"/>
              <w:right w:val="nil"/>
            </w:tcBorders>
            <w:shd w:val="clear" w:color="auto" w:fill="auto"/>
            <w:noWrap/>
            <w:hideMark/>
          </w:tcPr>
          <w:p w14:paraId="097D1FB6"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nil"/>
              <w:bottom w:val="nil"/>
              <w:right w:val="nil"/>
            </w:tcBorders>
            <w:shd w:val="clear" w:color="auto" w:fill="auto"/>
            <w:vAlign w:val="center"/>
            <w:hideMark/>
          </w:tcPr>
          <w:p w14:paraId="20364822" w14:textId="77777777" w:rsidR="008B1D08" w:rsidRPr="008B1D08" w:rsidRDefault="008B1D08" w:rsidP="008B1D08">
            <w:pPr>
              <w:spacing w:after="0" w:line="240" w:lineRule="auto"/>
              <w:rPr>
                <w:rFonts w:ascii="Times New Roman" w:eastAsia="Times New Roman" w:hAnsi="Times New Roman" w:cs="Times New Roman"/>
                <w:sz w:val="20"/>
                <w:szCs w:val="20"/>
                <w:lang w:eastAsia="de-AT"/>
              </w:rPr>
            </w:pPr>
          </w:p>
        </w:tc>
      </w:tr>
      <w:tr w:rsidR="008B1D08" w:rsidRPr="008B1D08" w14:paraId="5ABE7D9E" w14:textId="77777777" w:rsidTr="00807408">
        <w:trPr>
          <w:trHeight w:val="300"/>
        </w:trPr>
        <w:tc>
          <w:tcPr>
            <w:tcW w:w="2268" w:type="dxa"/>
            <w:tcBorders>
              <w:top w:val="nil"/>
              <w:left w:val="nil"/>
              <w:bottom w:val="nil"/>
              <w:right w:val="nil"/>
            </w:tcBorders>
            <w:shd w:val="clear" w:color="auto" w:fill="auto"/>
            <w:noWrap/>
            <w:hideMark/>
          </w:tcPr>
          <w:p w14:paraId="2EEA0B62" w14:textId="77777777" w:rsidR="008B1D08" w:rsidRPr="008B1D08" w:rsidRDefault="00000000" w:rsidP="008B1D08">
            <w:pPr>
              <w:spacing w:after="0" w:line="240" w:lineRule="auto"/>
              <w:rPr>
                <w:rFonts w:ascii="Calibri" w:eastAsia="Times New Roman" w:hAnsi="Calibri" w:cs="Calibri"/>
                <w:b/>
                <w:bCs/>
                <w:lang w:eastAsia="de-AT"/>
              </w:rPr>
            </w:pPr>
            <w:hyperlink r:id="rId17" w:anchor="RANGE!_Toc167365448" w:history="1">
              <w:r w:rsidR="008B1D08" w:rsidRPr="008B1D08">
                <w:rPr>
                  <w:rFonts w:ascii="Calibri" w:eastAsia="Times New Roman" w:hAnsi="Calibri" w:cs="Calibri"/>
                  <w:b/>
                  <w:bCs/>
                  <w:lang w:val="de-DE" w:eastAsia="de-AT"/>
                </w:rPr>
                <w:t>KONSUMENT</w:t>
              </w:r>
            </w:hyperlink>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369CB" w14:textId="77777777" w:rsidR="008B1D08" w:rsidRPr="008B1D08" w:rsidRDefault="00000000" w:rsidP="008B1D08">
            <w:pPr>
              <w:spacing w:after="0" w:line="240" w:lineRule="auto"/>
              <w:rPr>
                <w:rFonts w:ascii="Calibri" w:eastAsia="Times New Roman" w:hAnsi="Calibri" w:cs="Calibri"/>
                <w:lang w:eastAsia="de-AT"/>
              </w:rPr>
            </w:pPr>
            <w:hyperlink r:id="rId18" w:anchor="RANGE!_Toc167365449" w:history="1">
              <w:r w:rsidR="008B1D08" w:rsidRPr="008B1D08">
                <w:rPr>
                  <w:rFonts w:ascii="Calibri" w:eastAsia="Times New Roman" w:hAnsi="Calibri" w:cs="Calibri"/>
                  <w:lang w:val="de-DE" w:eastAsia="de-AT"/>
                </w:rPr>
                <w:t>Verpflichtende Annahme von Bargeld und Wahlfreiheit bei Bezahlung.</w:t>
              </w:r>
            </w:hyperlink>
          </w:p>
        </w:tc>
      </w:tr>
      <w:tr w:rsidR="008B1D08" w:rsidRPr="008B1D08" w14:paraId="06841409" w14:textId="77777777" w:rsidTr="00807408">
        <w:trPr>
          <w:trHeight w:val="300"/>
        </w:trPr>
        <w:tc>
          <w:tcPr>
            <w:tcW w:w="2268" w:type="dxa"/>
            <w:tcBorders>
              <w:top w:val="nil"/>
              <w:left w:val="nil"/>
              <w:bottom w:val="nil"/>
              <w:right w:val="nil"/>
            </w:tcBorders>
            <w:shd w:val="clear" w:color="auto" w:fill="auto"/>
            <w:noWrap/>
            <w:hideMark/>
          </w:tcPr>
          <w:p w14:paraId="58E5ED50"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07CE0AE1" w14:textId="77777777" w:rsidR="008B1D08" w:rsidRPr="008B1D08" w:rsidRDefault="00000000" w:rsidP="008B1D08">
            <w:pPr>
              <w:spacing w:after="0" w:line="240" w:lineRule="auto"/>
              <w:rPr>
                <w:rFonts w:ascii="Calibri" w:eastAsia="Times New Roman" w:hAnsi="Calibri" w:cs="Calibri"/>
                <w:lang w:eastAsia="de-AT"/>
              </w:rPr>
            </w:pPr>
            <w:hyperlink r:id="rId19" w:anchor="RANGE!_Toc167365450" w:history="1">
              <w:r w:rsidR="008B1D08" w:rsidRPr="008B1D08">
                <w:rPr>
                  <w:rFonts w:ascii="Calibri" w:eastAsia="Times New Roman" w:hAnsi="Calibri" w:cs="Calibri"/>
                  <w:lang w:val="de-DE" w:eastAsia="de-AT"/>
                </w:rPr>
                <w:t>Konsument:innenfreundliche Änderung der Mautordnung der Asfinag.</w:t>
              </w:r>
            </w:hyperlink>
          </w:p>
        </w:tc>
      </w:tr>
      <w:tr w:rsidR="008B1D08" w:rsidRPr="008B1D08" w14:paraId="4589F820" w14:textId="77777777" w:rsidTr="00807408">
        <w:trPr>
          <w:trHeight w:val="300"/>
        </w:trPr>
        <w:tc>
          <w:tcPr>
            <w:tcW w:w="2268" w:type="dxa"/>
            <w:tcBorders>
              <w:top w:val="nil"/>
              <w:left w:val="nil"/>
              <w:bottom w:val="nil"/>
              <w:right w:val="nil"/>
            </w:tcBorders>
            <w:shd w:val="clear" w:color="auto" w:fill="auto"/>
            <w:noWrap/>
            <w:hideMark/>
          </w:tcPr>
          <w:p w14:paraId="14015CE3"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nil"/>
              <w:bottom w:val="nil"/>
              <w:right w:val="nil"/>
            </w:tcBorders>
            <w:shd w:val="clear" w:color="auto" w:fill="auto"/>
            <w:vAlign w:val="center"/>
            <w:hideMark/>
          </w:tcPr>
          <w:p w14:paraId="13552C1C" w14:textId="77777777" w:rsidR="008B1D08" w:rsidRPr="008B1D08" w:rsidRDefault="008B1D08" w:rsidP="008B1D08">
            <w:pPr>
              <w:spacing w:after="0" w:line="240" w:lineRule="auto"/>
              <w:rPr>
                <w:rFonts w:ascii="Times New Roman" w:eastAsia="Times New Roman" w:hAnsi="Times New Roman" w:cs="Times New Roman"/>
                <w:sz w:val="20"/>
                <w:szCs w:val="20"/>
                <w:lang w:eastAsia="de-AT"/>
              </w:rPr>
            </w:pPr>
          </w:p>
        </w:tc>
      </w:tr>
      <w:tr w:rsidR="008B1D08" w:rsidRPr="008B1D08" w14:paraId="0B6850AD" w14:textId="77777777" w:rsidTr="00807408">
        <w:trPr>
          <w:trHeight w:val="300"/>
        </w:trPr>
        <w:tc>
          <w:tcPr>
            <w:tcW w:w="2268" w:type="dxa"/>
            <w:tcBorders>
              <w:top w:val="nil"/>
              <w:left w:val="nil"/>
              <w:bottom w:val="nil"/>
              <w:right w:val="nil"/>
            </w:tcBorders>
            <w:shd w:val="clear" w:color="auto" w:fill="auto"/>
            <w:noWrap/>
            <w:hideMark/>
          </w:tcPr>
          <w:p w14:paraId="5900C82D" w14:textId="77777777" w:rsidR="008B1D08" w:rsidRPr="008B1D08" w:rsidRDefault="00000000" w:rsidP="008B1D08">
            <w:pPr>
              <w:spacing w:after="0" w:line="240" w:lineRule="auto"/>
              <w:rPr>
                <w:rFonts w:ascii="Calibri" w:eastAsia="Times New Roman" w:hAnsi="Calibri" w:cs="Calibri"/>
                <w:b/>
                <w:bCs/>
                <w:lang w:eastAsia="de-AT"/>
              </w:rPr>
            </w:pPr>
            <w:hyperlink r:id="rId20" w:anchor="RANGE!_Toc167365451" w:history="1">
              <w:r w:rsidR="008B1D08" w:rsidRPr="008B1D08">
                <w:rPr>
                  <w:rFonts w:ascii="Calibri" w:eastAsia="Times New Roman" w:hAnsi="Calibri" w:cs="Calibri"/>
                  <w:b/>
                  <w:bCs/>
                  <w:lang w:val="de-DE" w:eastAsia="de-AT"/>
                </w:rPr>
                <w:t>WOHNEN</w:t>
              </w:r>
            </w:hyperlink>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5D69" w14:textId="68A2B671" w:rsidR="008B1D08" w:rsidRPr="008B1D08" w:rsidRDefault="00000000" w:rsidP="008B1D08">
            <w:pPr>
              <w:spacing w:after="0" w:line="240" w:lineRule="auto"/>
              <w:rPr>
                <w:rFonts w:ascii="Calibri" w:eastAsia="Times New Roman" w:hAnsi="Calibri" w:cs="Calibri"/>
                <w:lang w:eastAsia="de-AT"/>
              </w:rPr>
            </w:pPr>
            <w:hyperlink r:id="rId21" w:anchor="RANGE!_Toc167365452" w:history="1">
              <w:r w:rsidR="008B1D08" w:rsidRPr="008B1D08">
                <w:rPr>
                  <w:rFonts w:ascii="Calibri" w:eastAsia="Times New Roman" w:hAnsi="Calibri" w:cs="Calibri"/>
                  <w:lang w:val="de-DE" w:eastAsia="de-AT"/>
                </w:rPr>
                <w:t>Keine Weiterverrechnung der Grundsteuer, Verwaltungs- und Versicherungskosten an Mieter</w:t>
              </w:r>
            </w:hyperlink>
            <w:r w:rsidR="00734971">
              <w:rPr>
                <w:rFonts w:ascii="Calibri" w:eastAsia="Times New Roman" w:hAnsi="Calibri" w:cs="Calibri"/>
                <w:lang w:val="de-DE" w:eastAsia="de-AT"/>
              </w:rPr>
              <w:t>:innen</w:t>
            </w:r>
          </w:p>
        </w:tc>
      </w:tr>
      <w:tr w:rsidR="008B1D08" w:rsidRPr="008B1D08" w14:paraId="3D301FCB" w14:textId="77777777" w:rsidTr="00807408">
        <w:trPr>
          <w:trHeight w:val="600"/>
        </w:trPr>
        <w:tc>
          <w:tcPr>
            <w:tcW w:w="2268" w:type="dxa"/>
            <w:tcBorders>
              <w:top w:val="nil"/>
              <w:left w:val="nil"/>
              <w:bottom w:val="nil"/>
              <w:right w:val="nil"/>
            </w:tcBorders>
            <w:shd w:val="clear" w:color="auto" w:fill="auto"/>
            <w:noWrap/>
            <w:hideMark/>
          </w:tcPr>
          <w:p w14:paraId="3BEBB3EC"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5C622B9D" w14:textId="79F1206C" w:rsidR="008B1D08" w:rsidRPr="008B1D08" w:rsidRDefault="006F068D" w:rsidP="008B1D08">
            <w:pPr>
              <w:spacing w:after="0" w:line="240" w:lineRule="auto"/>
              <w:rPr>
                <w:rFonts w:ascii="Calibri" w:eastAsia="Times New Roman" w:hAnsi="Calibri" w:cs="Calibri"/>
                <w:lang w:eastAsia="de-AT"/>
              </w:rPr>
            </w:pPr>
            <w:r w:rsidRPr="006F068D">
              <w:rPr>
                <w:rFonts w:ascii="Calibri" w:eastAsia="Times New Roman" w:hAnsi="Calibri" w:cs="Calibri"/>
                <w:lang w:val="de-DE" w:eastAsia="de-AT"/>
              </w:rPr>
              <w:t>Mietpreiserhöhungen nicht nach VPI, sondern auf Basis eines hypothekarischen Referenzzinssatzes nach Schweizer Vorbild</w:t>
            </w:r>
          </w:p>
        </w:tc>
      </w:tr>
      <w:tr w:rsidR="008B1D08" w:rsidRPr="008B1D08" w14:paraId="6AA1B16D" w14:textId="77777777" w:rsidTr="00807408">
        <w:trPr>
          <w:trHeight w:val="300"/>
        </w:trPr>
        <w:tc>
          <w:tcPr>
            <w:tcW w:w="2268" w:type="dxa"/>
            <w:tcBorders>
              <w:top w:val="nil"/>
              <w:left w:val="nil"/>
              <w:bottom w:val="nil"/>
              <w:right w:val="nil"/>
            </w:tcBorders>
            <w:shd w:val="clear" w:color="auto" w:fill="auto"/>
            <w:noWrap/>
            <w:hideMark/>
          </w:tcPr>
          <w:p w14:paraId="7A408EF3"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19B9092D" w14:textId="77777777" w:rsidR="008B1D08" w:rsidRPr="008B1D08" w:rsidRDefault="00000000" w:rsidP="008B1D08">
            <w:pPr>
              <w:spacing w:after="0" w:line="240" w:lineRule="auto"/>
              <w:rPr>
                <w:rFonts w:ascii="Calibri" w:eastAsia="Times New Roman" w:hAnsi="Calibri" w:cs="Calibri"/>
                <w:lang w:eastAsia="de-AT"/>
              </w:rPr>
            </w:pPr>
            <w:hyperlink r:id="rId22" w:anchor="RANGE!_Toc167365454" w:history="1">
              <w:r w:rsidR="008B1D08" w:rsidRPr="008B1D08">
                <w:rPr>
                  <w:rFonts w:ascii="Calibri" w:eastAsia="Times New Roman" w:hAnsi="Calibri" w:cs="Calibri"/>
                  <w:lang w:val="de-DE" w:eastAsia="de-AT"/>
                </w:rPr>
                <w:t>Mietkauf: Maximaler Kaufpreis muss bereits im Mietvertrag festgelegt sein</w:t>
              </w:r>
            </w:hyperlink>
          </w:p>
        </w:tc>
      </w:tr>
      <w:tr w:rsidR="008B1D08" w:rsidRPr="008B1D08" w14:paraId="689D171F" w14:textId="77777777" w:rsidTr="00807408">
        <w:trPr>
          <w:trHeight w:val="300"/>
        </w:trPr>
        <w:tc>
          <w:tcPr>
            <w:tcW w:w="2268" w:type="dxa"/>
            <w:tcBorders>
              <w:top w:val="nil"/>
              <w:left w:val="nil"/>
              <w:bottom w:val="nil"/>
              <w:right w:val="nil"/>
            </w:tcBorders>
            <w:shd w:val="clear" w:color="auto" w:fill="auto"/>
            <w:noWrap/>
            <w:hideMark/>
          </w:tcPr>
          <w:p w14:paraId="582097A2"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nil"/>
              <w:bottom w:val="nil"/>
              <w:right w:val="nil"/>
            </w:tcBorders>
            <w:shd w:val="clear" w:color="auto" w:fill="auto"/>
            <w:vAlign w:val="center"/>
            <w:hideMark/>
          </w:tcPr>
          <w:p w14:paraId="75661769" w14:textId="77777777" w:rsidR="008B1D08" w:rsidRPr="008B1D08" w:rsidRDefault="008B1D08" w:rsidP="008B1D08">
            <w:pPr>
              <w:spacing w:after="0" w:line="240" w:lineRule="auto"/>
              <w:rPr>
                <w:rFonts w:ascii="Times New Roman" w:eastAsia="Times New Roman" w:hAnsi="Times New Roman" w:cs="Times New Roman"/>
                <w:sz w:val="20"/>
                <w:szCs w:val="20"/>
                <w:lang w:eastAsia="de-AT"/>
              </w:rPr>
            </w:pPr>
          </w:p>
        </w:tc>
      </w:tr>
      <w:tr w:rsidR="008B1D08" w:rsidRPr="008B1D08" w14:paraId="7BF247E0" w14:textId="77777777" w:rsidTr="00807408">
        <w:trPr>
          <w:trHeight w:val="300"/>
        </w:trPr>
        <w:tc>
          <w:tcPr>
            <w:tcW w:w="2268" w:type="dxa"/>
            <w:tcBorders>
              <w:top w:val="nil"/>
              <w:left w:val="nil"/>
              <w:bottom w:val="nil"/>
              <w:right w:val="nil"/>
            </w:tcBorders>
            <w:shd w:val="clear" w:color="auto" w:fill="auto"/>
            <w:noWrap/>
            <w:hideMark/>
          </w:tcPr>
          <w:p w14:paraId="6D8CE364" w14:textId="77777777" w:rsidR="008B1D08" w:rsidRPr="008B1D08" w:rsidRDefault="00000000" w:rsidP="008B1D08">
            <w:pPr>
              <w:spacing w:after="0" w:line="240" w:lineRule="auto"/>
              <w:rPr>
                <w:rFonts w:ascii="Calibri" w:eastAsia="Times New Roman" w:hAnsi="Calibri" w:cs="Calibri"/>
                <w:b/>
                <w:bCs/>
                <w:lang w:eastAsia="de-AT"/>
              </w:rPr>
            </w:pPr>
            <w:hyperlink r:id="rId23" w:anchor="RANGE!_Toc167365455" w:history="1">
              <w:r w:rsidR="008B1D08" w:rsidRPr="008B1D08">
                <w:rPr>
                  <w:rFonts w:ascii="Calibri" w:eastAsia="Times New Roman" w:hAnsi="Calibri" w:cs="Calibri"/>
                  <w:b/>
                  <w:bCs/>
                  <w:lang w:val="de-DE" w:eastAsia="de-AT"/>
                </w:rPr>
                <w:t>ENERGIE</w:t>
              </w:r>
            </w:hyperlink>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C5914" w14:textId="77777777" w:rsidR="008B1D08" w:rsidRPr="008B1D08" w:rsidRDefault="00000000" w:rsidP="008B1D08">
            <w:pPr>
              <w:spacing w:after="0" w:line="240" w:lineRule="auto"/>
              <w:rPr>
                <w:rFonts w:ascii="Calibri" w:eastAsia="Times New Roman" w:hAnsi="Calibri" w:cs="Calibri"/>
                <w:lang w:eastAsia="de-AT"/>
              </w:rPr>
            </w:pPr>
            <w:hyperlink r:id="rId24" w:anchor="RANGE!_Toc167365456" w:history="1">
              <w:r w:rsidR="008B1D08" w:rsidRPr="008B1D08">
                <w:rPr>
                  <w:rFonts w:ascii="Calibri" w:eastAsia="Times New Roman" w:hAnsi="Calibri" w:cs="Calibri"/>
                  <w:lang w:val="de-DE" w:eastAsia="de-AT"/>
                </w:rPr>
                <w:t>Konsument:innenrechte für Fernwärme verankern</w:t>
              </w:r>
            </w:hyperlink>
          </w:p>
        </w:tc>
      </w:tr>
      <w:tr w:rsidR="008B1D08" w:rsidRPr="008B1D08" w14:paraId="28BFBF9F" w14:textId="77777777" w:rsidTr="00807408">
        <w:trPr>
          <w:trHeight w:val="300"/>
        </w:trPr>
        <w:tc>
          <w:tcPr>
            <w:tcW w:w="2268" w:type="dxa"/>
            <w:tcBorders>
              <w:top w:val="nil"/>
              <w:left w:val="nil"/>
              <w:bottom w:val="nil"/>
              <w:right w:val="nil"/>
            </w:tcBorders>
            <w:shd w:val="clear" w:color="auto" w:fill="auto"/>
            <w:noWrap/>
            <w:hideMark/>
          </w:tcPr>
          <w:p w14:paraId="18BC66FF"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0EC7F99D" w14:textId="7145FD5A" w:rsidR="008B1D08" w:rsidRPr="008B1D08" w:rsidRDefault="00000000" w:rsidP="008B1D08">
            <w:pPr>
              <w:spacing w:after="0" w:line="240" w:lineRule="auto"/>
              <w:rPr>
                <w:rFonts w:ascii="Calibri" w:eastAsia="Times New Roman" w:hAnsi="Calibri" w:cs="Calibri"/>
                <w:lang w:eastAsia="de-AT"/>
              </w:rPr>
            </w:pPr>
            <w:hyperlink r:id="rId25" w:anchor="RANGE!_Toc167365457" w:history="1">
              <w:r w:rsidR="008B1D08" w:rsidRPr="008B1D08">
                <w:rPr>
                  <w:rFonts w:ascii="Calibri" w:eastAsia="Times New Roman" w:hAnsi="Calibri" w:cs="Calibri"/>
                  <w:lang w:val="de-DE" w:eastAsia="de-AT"/>
                </w:rPr>
                <w:t xml:space="preserve">Faire Verteilung der Netzkosten </w:t>
              </w:r>
              <w:r w:rsidR="00366613">
                <w:rPr>
                  <w:rFonts w:ascii="Calibri" w:eastAsia="Times New Roman" w:hAnsi="Calibri" w:cs="Calibri"/>
                  <w:lang w:val="de-DE" w:eastAsia="de-AT"/>
                </w:rPr>
                <w:t xml:space="preserve">für Haushalte </w:t>
              </w:r>
              <w:r w:rsidR="008B1D08" w:rsidRPr="008B1D08">
                <w:rPr>
                  <w:rFonts w:ascii="Calibri" w:eastAsia="Times New Roman" w:hAnsi="Calibri" w:cs="Calibri"/>
                  <w:lang w:val="de-DE" w:eastAsia="de-AT"/>
                </w:rPr>
                <w:t>bei Strom und Gas</w:t>
              </w:r>
            </w:hyperlink>
          </w:p>
        </w:tc>
      </w:tr>
      <w:tr w:rsidR="008B1D08" w:rsidRPr="008B1D08" w14:paraId="751A5CC0" w14:textId="77777777" w:rsidTr="00807408">
        <w:trPr>
          <w:trHeight w:val="300"/>
        </w:trPr>
        <w:tc>
          <w:tcPr>
            <w:tcW w:w="2268" w:type="dxa"/>
            <w:tcBorders>
              <w:top w:val="nil"/>
              <w:left w:val="nil"/>
              <w:bottom w:val="nil"/>
              <w:right w:val="nil"/>
            </w:tcBorders>
            <w:shd w:val="clear" w:color="auto" w:fill="auto"/>
            <w:noWrap/>
            <w:hideMark/>
          </w:tcPr>
          <w:p w14:paraId="5F270A74"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nil"/>
              <w:bottom w:val="nil"/>
              <w:right w:val="nil"/>
            </w:tcBorders>
            <w:shd w:val="clear" w:color="auto" w:fill="auto"/>
            <w:vAlign w:val="center"/>
            <w:hideMark/>
          </w:tcPr>
          <w:p w14:paraId="77C90038" w14:textId="77777777" w:rsidR="008B1D08" w:rsidRPr="008B1D08" w:rsidRDefault="008B1D08" w:rsidP="008B1D08">
            <w:pPr>
              <w:spacing w:after="0" w:line="240" w:lineRule="auto"/>
              <w:rPr>
                <w:rFonts w:ascii="Times New Roman" w:eastAsia="Times New Roman" w:hAnsi="Times New Roman" w:cs="Times New Roman"/>
                <w:sz w:val="20"/>
                <w:szCs w:val="20"/>
                <w:lang w:eastAsia="de-AT"/>
              </w:rPr>
            </w:pPr>
          </w:p>
        </w:tc>
      </w:tr>
      <w:tr w:rsidR="008B1D08" w:rsidRPr="008B1D08" w14:paraId="44EB4702" w14:textId="77777777" w:rsidTr="00807408">
        <w:trPr>
          <w:trHeight w:val="300"/>
        </w:trPr>
        <w:tc>
          <w:tcPr>
            <w:tcW w:w="2268" w:type="dxa"/>
            <w:tcBorders>
              <w:top w:val="nil"/>
              <w:left w:val="nil"/>
              <w:bottom w:val="nil"/>
              <w:right w:val="nil"/>
            </w:tcBorders>
            <w:shd w:val="clear" w:color="auto" w:fill="auto"/>
            <w:noWrap/>
            <w:hideMark/>
          </w:tcPr>
          <w:p w14:paraId="0F652E0F" w14:textId="77777777" w:rsidR="008B1D08" w:rsidRPr="008B1D08" w:rsidRDefault="00000000" w:rsidP="008B1D08">
            <w:pPr>
              <w:spacing w:after="0" w:line="240" w:lineRule="auto"/>
              <w:rPr>
                <w:rFonts w:ascii="Calibri" w:eastAsia="Times New Roman" w:hAnsi="Calibri" w:cs="Calibri"/>
                <w:b/>
                <w:bCs/>
                <w:lang w:eastAsia="de-AT"/>
              </w:rPr>
            </w:pPr>
            <w:hyperlink r:id="rId26" w:anchor="RANGE!_Toc167365458" w:history="1">
              <w:r w:rsidR="008B1D08" w:rsidRPr="008B1D08">
                <w:rPr>
                  <w:rFonts w:ascii="Calibri" w:eastAsia="Times New Roman" w:hAnsi="Calibri" w:cs="Calibri"/>
                  <w:b/>
                  <w:bCs/>
                  <w:lang w:val="de-DE" w:eastAsia="de-AT"/>
                </w:rPr>
                <w:t>VERKEHR</w:t>
              </w:r>
            </w:hyperlink>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4B61D" w14:textId="77777777" w:rsidR="008B1D08" w:rsidRPr="008B1D08" w:rsidRDefault="00000000" w:rsidP="008B1D08">
            <w:pPr>
              <w:spacing w:after="0" w:line="240" w:lineRule="auto"/>
              <w:rPr>
                <w:rFonts w:ascii="Calibri" w:eastAsia="Times New Roman" w:hAnsi="Calibri" w:cs="Calibri"/>
                <w:lang w:eastAsia="de-AT"/>
              </w:rPr>
            </w:pPr>
            <w:hyperlink r:id="rId27" w:anchor="RANGE!_Toc167365459" w:history="1">
              <w:r w:rsidR="008B1D08" w:rsidRPr="008B1D08">
                <w:rPr>
                  <w:rFonts w:ascii="Calibri" w:eastAsia="Times New Roman" w:hAnsi="Calibri" w:cs="Calibri"/>
                  <w:lang w:val="de-DE" w:eastAsia="de-AT"/>
                </w:rPr>
                <w:t>Lkw-Maut auch auf Bundesstraßen</w:t>
              </w:r>
            </w:hyperlink>
          </w:p>
        </w:tc>
      </w:tr>
      <w:tr w:rsidR="008B1D08" w:rsidRPr="008B1D08" w14:paraId="286DA422" w14:textId="77777777" w:rsidTr="00807408">
        <w:trPr>
          <w:trHeight w:val="300"/>
        </w:trPr>
        <w:tc>
          <w:tcPr>
            <w:tcW w:w="2268" w:type="dxa"/>
            <w:tcBorders>
              <w:top w:val="nil"/>
              <w:left w:val="nil"/>
              <w:bottom w:val="nil"/>
              <w:right w:val="nil"/>
            </w:tcBorders>
            <w:shd w:val="clear" w:color="auto" w:fill="auto"/>
            <w:noWrap/>
            <w:hideMark/>
          </w:tcPr>
          <w:p w14:paraId="110FF4B7"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single" w:sz="4" w:space="0" w:color="auto"/>
              <w:bottom w:val="single" w:sz="4" w:space="0" w:color="auto"/>
              <w:right w:val="single" w:sz="4" w:space="0" w:color="auto"/>
            </w:tcBorders>
            <w:shd w:val="clear" w:color="auto" w:fill="auto"/>
            <w:vAlign w:val="center"/>
            <w:hideMark/>
          </w:tcPr>
          <w:p w14:paraId="2C2BD3EB" w14:textId="77777777" w:rsidR="008B1D08" w:rsidRPr="008B1D08" w:rsidRDefault="00000000" w:rsidP="008B1D08">
            <w:pPr>
              <w:spacing w:after="0" w:line="240" w:lineRule="auto"/>
              <w:rPr>
                <w:rFonts w:ascii="Calibri" w:eastAsia="Times New Roman" w:hAnsi="Calibri" w:cs="Calibri"/>
                <w:lang w:eastAsia="de-AT"/>
              </w:rPr>
            </w:pPr>
            <w:hyperlink r:id="rId28" w:anchor="RANGE!_Toc167365460" w:history="1">
              <w:r w:rsidR="008B1D08" w:rsidRPr="008B1D08">
                <w:rPr>
                  <w:rFonts w:ascii="Calibri" w:eastAsia="Times New Roman" w:hAnsi="Calibri" w:cs="Calibri"/>
                  <w:lang w:val="de-DE" w:eastAsia="de-AT"/>
                </w:rPr>
                <w:t>Nein zu Gigaliner</w:t>
              </w:r>
            </w:hyperlink>
          </w:p>
        </w:tc>
      </w:tr>
      <w:tr w:rsidR="008B1D08" w:rsidRPr="008B1D08" w14:paraId="40DA0E50" w14:textId="77777777" w:rsidTr="00807408">
        <w:trPr>
          <w:trHeight w:val="300"/>
        </w:trPr>
        <w:tc>
          <w:tcPr>
            <w:tcW w:w="2268" w:type="dxa"/>
            <w:tcBorders>
              <w:top w:val="nil"/>
              <w:left w:val="nil"/>
              <w:bottom w:val="nil"/>
              <w:right w:val="nil"/>
            </w:tcBorders>
            <w:shd w:val="clear" w:color="auto" w:fill="auto"/>
            <w:noWrap/>
            <w:hideMark/>
          </w:tcPr>
          <w:p w14:paraId="113E63F4" w14:textId="77777777" w:rsidR="008B1D08" w:rsidRPr="008B1D08" w:rsidRDefault="008B1D08" w:rsidP="008B1D08">
            <w:pPr>
              <w:spacing w:after="0" w:line="240" w:lineRule="auto"/>
              <w:rPr>
                <w:rFonts w:ascii="Calibri" w:eastAsia="Times New Roman" w:hAnsi="Calibri" w:cs="Calibri"/>
                <w:lang w:eastAsia="de-AT"/>
              </w:rPr>
            </w:pPr>
          </w:p>
        </w:tc>
        <w:tc>
          <w:tcPr>
            <w:tcW w:w="7061" w:type="dxa"/>
            <w:tcBorders>
              <w:top w:val="nil"/>
              <w:left w:val="nil"/>
              <w:bottom w:val="nil"/>
              <w:right w:val="nil"/>
            </w:tcBorders>
            <w:shd w:val="clear" w:color="auto" w:fill="auto"/>
            <w:vAlign w:val="center"/>
            <w:hideMark/>
          </w:tcPr>
          <w:p w14:paraId="218D3294" w14:textId="77777777" w:rsidR="008B1D08" w:rsidRPr="008B1D08" w:rsidRDefault="008B1D08" w:rsidP="008B1D08">
            <w:pPr>
              <w:spacing w:after="0" w:line="240" w:lineRule="auto"/>
              <w:rPr>
                <w:rFonts w:ascii="Times New Roman" w:eastAsia="Times New Roman" w:hAnsi="Times New Roman" w:cs="Times New Roman"/>
                <w:sz w:val="20"/>
                <w:szCs w:val="20"/>
                <w:lang w:eastAsia="de-AT"/>
              </w:rPr>
            </w:pPr>
          </w:p>
        </w:tc>
      </w:tr>
      <w:tr w:rsidR="008B1D08" w:rsidRPr="008B1D08" w14:paraId="268ABC20" w14:textId="77777777" w:rsidTr="00807408">
        <w:trPr>
          <w:trHeight w:val="300"/>
        </w:trPr>
        <w:tc>
          <w:tcPr>
            <w:tcW w:w="2268" w:type="dxa"/>
            <w:tcBorders>
              <w:top w:val="nil"/>
              <w:left w:val="nil"/>
              <w:bottom w:val="nil"/>
              <w:right w:val="nil"/>
            </w:tcBorders>
            <w:shd w:val="clear" w:color="auto" w:fill="auto"/>
            <w:noWrap/>
            <w:hideMark/>
          </w:tcPr>
          <w:p w14:paraId="0863F5E6" w14:textId="77777777" w:rsidR="008B1D08" w:rsidRPr="008B1D08" w:rsidRDefault="00000000" w:rsidP="008B1D08">
            <w:pPr>
              <w:spacing w:after="0" w:line="240" w:lineRule="auto"/>
              <w:rPr>
                <w:rFonts w:ascii="Calibri" w:eastAsia="Times New Roman" w:hAnsi="Calibri" w:cs="Calibri"/>
                <w:b/>
                <w:bCs/>
                <w:lang w:eastAsia="de-AT"/>
              </w:rPr>
            </w:pPr>
            <w:hyperlink r:id="rId29" w:anchor="RANGE!_Toc167365461" w:history="1">
              <w:r w:rsidR="008B1D08" w:rsidRPr="008B1D08">
                <w:rPr>
                  <w:rFonts w:ascii="Calibri" w:eastAsia="Times New Roman" w:hAnsi="Calibri" w:cs="Calibri"/>
                  <w:b/>
                  <w:bCs/>
                  <w:lang w:val="de-DE" w:eastAsia="de-AT"/>
                </w:rPr>
                <w:t>UMWELT</w:t>
              </w:r>
            </w:hyperlink>
          </w:p>
        </w:tc>
        <w:tc>
          <w:tcPr>
            <w:tcW w:w="7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1C11" w14:textId="77777777" w:rsidR="008B1D08" w:rsidRPr="008B1D08" w:rsidRDefault="008B1D08" w:rsidP="008B1D08">
            <w:pPr>
              <w:spacing w:after="0" w:line="240" w:lineRule="auto"/>
              <w:rPr>
                <w:rFonts w:ascii="Calibri" w:eastAsia="Times New Roman" w:hAnsi="Calibri" w:cs="Calibri"/>
                <w:lang w:eastAsia="de-AT"/>
              </w:rPr>
            </w:pPr>
            <w:r w:rsidRPr="008B1D08">
              <w:rPr>
                <w:rFonts w:ascii="Calibri" w:eastAsia="Times New Roman" w:hAnsi="Calibri" w:cs="Calibri"/>
                <w:lang w:eastAsia="de-AT"/>
              </w:rPr>
              <w:t>Strengere Grenzwerte für Luftqualität</w:t>
            </w:r>
          </w:p>
        </w:tc>
      </w:tr>
    </w:tbl>
    <w:p w14:paraId="29556571" w14:textId="77777777" w:rsidR="00AC70C6" w:rsidRDefault="00AC70C6">
      <w:r>
        <w:br w:type="page"/>
      </w:r>
    </w:p>
    <w:p w14:paraId="02D4EE73" w14:textId="4AD87A2C" w:rsidR="00AF4FDA" w:rsidRPr="00B2758D" w:rsidRDefault="00AF4FDA" w:rsidP="00B2758D">
      <w:pPr>
        <w:pStyle w:val="berschrift1"/>
        <w:rPr>
          <w:rFonts w:asciiTheme="minorHAnsi" w:hAnsiTheme="minorHAnsi" w:cstheme="minorHAnsi"/>
          <w:b/>
          <w:bCs/>
          <w:color w:val="auto"/>
          <w:lang w:val="de-DE"/>
        </w:rPr>
      </w:pPr>
      <w:bookmarkStart w:id="1" w:name="_Toc167366284"/>
      <w:r w:rsidRPr="00B2758D">
        <w:rPr>
          <w:rFonts w:asciiTheme="minorHAnsi" w:hAnsiTheme="minorHAnsi" w:cstheme="minorHAnsi"/>
          <w:b/>
          <w:bCs/>
          <w:color w:val="auto"/>
          <w:lang w:val="de-DE"/>
        </w:rPr>
        <w:lastRenderedPageBreak/>
        <w:t>ARBEITSRECHT</w:t>
      </w:r>
      <w:bookmarkEnd w:id="1"/>
    </w:p>
    <w:p w14:paraId="627E0101" w14:textId="2BC64CF8" w:rsidR="00AF4FDA" w:rsidRPr="00B2758D" w:rsidRDefault="00AF4FDA" w:rsidP="00B2758D">
      <w:pPr>
        <w:pStyle w:val="berschrift2"/>
        <w:rPr>
          <w:rFonts w:asciiTheme="minorHAnsi" w:hAnsiTheme="minorHAnsi" w:cstheme="minorHAnsi"/>
          <w:b/>
          <w:bCs/>
          <w:color w:val="auto"/>
          <w:lang w:val="de-DE"/>
        </w:rPr>
      </w:pPr>
      <w:bookmarkStart w:id="2" w:name="_Toc167366285"/>
      <w:r w:rsidRPr="00B2758D">
        <w:rPr>
          <w:rFonts w:asciiTheme="minorHAnsi" w:hAnsiTheme="minorHAnsi" w:cstheme="minorHAnsi"/>
          <w:b/>
          <w:bCs/>
          <w:color w:val="auto"/>
          <w:lang w:val="de-DE"/>
        </w:rPr>
        <w:t>6</w:t>
      </w:r>
      <w:r w:rsidR="0082279A">
        <w:rPr>
          <w:rFonts w:asciiTheme="minorHAnsi" w:hAnsiTheme="minorHAnsi" w:cstheme="minorHAnsi"/>
          <w:b/>
          <w:bCs/>
          <w:color w:val="auto"/>
          <w:lang w:val="de-DE"/>
        </w:rPr>
        <w:t>. Urlaubswoche</w:t>
      </w:r>
      <w:r w:rsidRPr="00B2758D">
        <w:rPr>
          <w:rFonts w:asciiTheme="minorHAnsi" w:hAnsiTheme="minorHAnsi" w:cstheme="minorHAnsi"/>
          <w:b/>
          <w:bCs/>
          <w:color w:val="auto"/>
          <w:lang w:val="de-DE"/>
        </w:rPr>
        <w:t xml:space="preserve"> ab dem 43. Lebensjahr für alle Arbeitnehmer:</w:t>
      </w:r>
      <w:r w:rsidR="00DA4323">
        <w:rPr>
          <w:rFonts w:asciiTheme="minorHAnsi" w:hAnsiTheme="minorHAnsi" w:cstheme="minorHAnsi"/>
          <w:b/>
          <w:bCs/>
          <w:color w:val="auto"/>
          <w:lang w:val="de-DE"/>
        </w:rPr>
        <w:t>i</w:t>
      </w:r>
      <w:r w:rsidRPr="00B2758D">
        <w:rPr>
          <w:rFonts w:asciiTheme="minorHAnsi" w:hAnsiTheme="minorHAnsi" w:cstheme="minorHAnsi"/>
          <w:b/>
          <w:bCs/>
          <w:color w:val="auto"/>
          <w:lang w:val="de-DE"/>
        </w:rPr>
        <w:t>nnen wie im öffentlichen Dienstrecht</w:t>
      </w:r>
      <w:bookmarkEnd w:id="2"/>
    </w:p>
    <w:p w14:paraId="6F2E8DFF" w14:textId="435B423F" w:rsidR="00AF4FDA" w:rsidRPr="008845CB" w:rsidRDefault="00AF4FDA" w:rsidP="00AF4FDA">
      <w:pPr>
        <w:rPr>
          <w:rFonts w:cstheme="minorHAnsi"/>
          <w:bCs/>
          <w:lang w:val="de-DE"/>
        </w:rPr>
      </w:pPr>
      <w:r w:rsidRPr="001D5E49">
        <w:rPr>
          <w:rFonts w:cstheme="minorHAnsi"/>
          <w:bCs/>
          <w:lang w:val="de-DE"/>
        </w:rPr>
        <w:t>Die Schaffung eines sechswöchigen Urlaubszeitraumes ab dem 43. Lebensjahr für alle Arbeitnehmer:innen stellt eine essentielle sozialpolitische Maßnahme zur Gesundheitserhaltung und -förderung dar, die zu einer Hebung der Erwerbsfähigkeit und -quote älterer Arbeitnehmer</w:t>
      </w:r>
      <w:r w:rsidR="00594989">
        <w:rPr>
          <w:rFonts w:cstheme="minorHAnsi"/>
          <w:bCs/>
          <w:lang w:val="de-DE"/>
        </w:rPr>
        <w:t>:innen</w:t>
      </w:r>
      <w:r w:rsidRPr="001D5E49">
        <w:rPr>
          <w:rFonts w:cstheme="minorHAnsi"/>
          <w:bCs/>
          <w:lang w:val="de-DE"/>
        </w:rPr>
        <w:t xml:space="preserve"> und damit zur einer deutlichen Entlastung der Sozialbudgets (etwa in der Pensions- und Arbeitslosenversicherung) führen wird</w:t>
      </w:r>
      <w:r w:rsidR="00F46E16">
        <w:rPr>
          <w:rFonts w:cstheme="minorHAnsi"/>
          <w:bCs/>
          <w:lang w:val="de-DE"/>
        </w:rPr>
        <w:t>. A</w:t>
      </w:r>
      <w:r w:rsidRPr="001D5E49">
        <w:rPr>
          <w:rFonts w:cstheme="minorHAnsi"/>
          <w:bCs/>
          <w:lang w:val="de-DE"/>
        </w:rPr>
        <w:t>uch für die Arbeitgeber:</w:t>
      </w:r>
      <w:r w:rsidR="00594989">
        <w:rPr>
          <w:rFonts w:cstheme="minorHAnsi"/>
          <w:bCs/>
          <w:lang w:val="de-DE"/>
        </w:rPr>
        <w:t>i</w:t>
      </w:r>
      <w:r w:rsidRPr="001D5E49">
        <w:rPr>
          <w:rFonts w:cstheme="minorHAnsi"/>
          <w:bCs/>
          <w:lang w:val="de-DE"/>
        </w:rPr>
        <w:t xml:space="preserve">nnen </w:t>
      </w:r>
      <w:r w:rsidR="00F46E16">
        <w:rPr>
          <w:rFonts w:cstheme="minorHAnsi"/>
          <w:bCs/>
          <w:lang w:val="de-DE"/>
        </w:rPr>
        <w:t xml:space="preserve">kann dies </w:t>
      </w:r>
      <w:r w:rsidRPr="001D5E49">
        <w:rPr>
          <w:rFonts w:cstheme="minorHAnsi"/>
          <w:bCs/>
          <w:lang w:val="de-DE"/>
        </w:rPr>
        <w:t>finanzielle Vorteile</w:t>
      </w:r>
      <w:r w:rsidR="00F46E16">
        <w:rPr>
          <w:rFonts w:cstheme="minorHAnsi"/>
          <w:bCs/>
          <w:lang w:val="de-DE"/>
        </w:rPr>
        <w:t xml:space="preserve"> bringen, etwa durch eine Verringerung von Krankenständen.</w:t>
      </w:r>
    </w:p>
    <w:p w14:paraId="680A62F3" w14:textId="77777777" w:rsidR="00AF4FDA" w:rsidRPr="00B2758D" w:rsidRDefault="00AF4FDA" w:rsidP="00B2758D">
      <w:pPr>
        <w:pStyle w:val="berschrift2"/>
        <w:rPr>
          <w:rFonts w:asciiTheme="minorHAnsi" w:hAnsiTheme="minorHAnsi" w:cstheme="minorHAnsi"/>
          <w:b/>
          <w:bCs/>
          <w:color w:val="auto"/>
          <w:lang w:val="de-DE"/>
        </w:rPr>
      </w:pPr>
      <w:bookmarkStart w:id="3" w:name="_Toc167366286"/>
      <w:r w:rsidRPr="00B2758D">
        <w:rPr>
          <w:rFonts w:asciiTheme="minorHAnsi" w:hAnsiTheme="minorHAnsi" w:cstheme="minorHAnsi"/>
          <w:b/>
          <w:bCs/>
          <w:color w:val="auto"/>
          <w:lang w:val="de-DE"/>
        </w:rPr>
        <w:t>Wahlgerichtsstände des Wohnorts und des Arbeitsorts auch bei Kündigungs- und Entlassungsanfechtungen</w:t>
      </w:r>
      <w:bookmarkEnd w:id="3"/>
    </w:p>
    <w:p w14:paraId="7EF6E9F6" w14:textId="5FE67927" w:rsidR="00AF4FDA" w:rsidRPr="001D5E49" w:rsidRDefault="00AF4FDA" w:rsidP="00AF4FDA">
      <w:pPr>
        <w:rPr>
          <w:rFonts w:cstheme="minorHAnsi"/>
          <w:bCs/>
          <w:lang w:val="de-DE"/>
        </w:rPr>
      </w:pPr>
      <w:r w:rsidRPr="001D5E49">
        <w:rPr>
          <w:rFonts w:cstheme="minorHAnsi"/>
          <w:bCs/>
          <w:lang w:val="de-DE"/>
        </w:rPr>
        <w:t>Arbeitnehmer:innen, die ihre Kündigung oder Entlassung bei Gericht anfechten, müssen derzeit das Gerichtsverfahren vor jenem Gericht führen, in dessen Sprengel das Unternehmen seinen Sitz hat. Daher müssen mitunter beispielsweise Tiroler Arbeitnehmer:innen ihr Anfechtungsverfahren vor einem Wiener Gericht führen. Je weitere entfernt ein Gerichtsstandort ist, desto eher verzichten Arbeitnehmer:innen darauf, die ihnen zustehende Rechte vor Gericht geltend zu machen.</w:t>
      </w:r>
      <w:r w:rsidR="00F612F0">
        <w:rPr>
          <w:rFonts w:cstheme="minorHAnsi"/>
          <w:bCs/>
          <w:lang w:val="de-DE"/>
        </w:rPr>
        <w:t xml:space="preserve"> </w:t>
      </w:r>
      <w:r w:rsidRPr="001D5E49">
        <w:rPr>
          <w:rFonts w:cstheme="minorHAnsi"/>
          <w:bCs/>
          <w:lang w:val="de-DE"/>
        </w:rPr>
        <w:t>Es sollten daher auch bei Kündigungs- und Entlassungsanfechtungen, die „üblichen“ Wahlgerichtsstände des Wohnorts und des Arbeitsorts des/der Arbeitnehmer:in zur Verfügung gestellt we</w:t>
      </w:r>
      <w:r w:rsidR="00DA4323">
        <w:rPr>
          <w:rFonts w:cstheme="minorHAnsi"/>
          <w:bCs/>
          <w:lang w:val="de-DE"/>
        </w:rPr>
        <w:t>r</w:t>
      </w:r>
      <w:r w:rsidRPr="001D5E49">
        <w:rPr>
          <w:rFonts w:cstheme="minorHAnsi"/>
          <w:bCs/>
          <w:lang w:val="de-DE"/>
        </w:rPr>
        <w:t>den.</w:t>
      </w:r>
    </w:p>
    <w:p w14:paraId="32C21A71" w14:textId="77777777" w:rsidR="00AF4FDA" w:rsidRPr="00B2758D" w:rsidRDefault="00AF4FDA" w:rsidP="00B2758D">
      <w:pPr>
        <w:pStyle w:val="berschrift2"/>
        <w:rPr>
          <w:rFonts w:asciiTheme="minorHAnsi" w:hAnsiTheme="minorHAnsi" w:cstheme="minorHAnsi"/>
          <w:b/>
          <w:bCs/>
          <w:color w:val="auto"/>
          <w:lang w:val="de-DE"/>
        </w:rPr>
      </w:pPr>
      <w:bookmarkStart w:id="4" w:name="_Toc167366287"/>
      <w:r w:rsidRPr="00B2758D">
        <w:rPr>
          <w:rFonts w:asciiTheme="minorHAnsi" w:hAnsiTheme="minorHAnsi" w:cstheme="minorHAnsi"/>
          <w:b/>
          <w:bCs/>
          <w:color w:val="auto"/>
          <w:lang w:val="de-DE"/>
        </w:rPr>
        <w:t>Bezahlte Bildungsfreistellung auch für Betriebsräte in Kleinbetrieben</w:t>
      </w:r>
      <w:bookmarkEnd w:id="4"/>
    </w:p>
    <w:p w14:paraId="7F0384C3" w14:textId="1820CE85" w:rsidR="00AF4FDA" w:rsidRPr="00AF4FDA" w:rsidRDefault="00AF4FDA" w:rsidP="00AF4FDA">
      <w:pPr>
        <w:rPr>
          <w:rFonts w:cstheme="minorHAnsi"/>
          <w:bCs/>
          <w:lang w:val="de-DE"/>
        </w:rPr>
      </w:pPr>
      <w:r w:rsidRPr="00AF4FDA">
        <w:rPr>
          <w:rFonts w:cstheme="minorHAnsi"/>
          <w:bCs/>
          <w:lang w:val="de-DE"/>
        </w:rPr>
        <w:t>Der Umstand, dass das Arbeitsverfassungsgesetz sein 50-jähriges Jubiläum feiert, sollte auch den Anlass dafür geben, dass der in dieser Form bereits in der Stammfassung 1974 geregelte Bildungsfreistellungsanspruch an die Anforderungen des modernen</w:t>
      </w:r>
      <w:r w:rsidR="008845CB">
        <w:rPr>
          <w:rFonts w:cstheme="minorHAnsi"/>
          <w:bCs/>
          <w:lang w:val="de-DE"/>
        </w:rPr>
        <w:t xml:space="preserve"> und überaus komplexen</w:t>
      </w:r>
      <w:r w:rsidRPr="00AF4FDA">
        <w:rPr>
          <w:rFonts w:cstheme="minorHAnsi"/>
          <w:bCs/>
          <w:lang w:val="de-DE"/>
        </w:rPr>
        <w:t xml:space="preserve"> Arbeitsrechts angepasst wird und daher auch Betriebsrät:innen in Kleinbetrieben ein Anspruch auf bezahlte Bildungsfreistellung eingeräumt wird.</w:t>
      </w:r>
    </w:p>
    <w:p w14:paraId="0BD29397" w14:textId="77777777" w:rsidR="00AF4FDA" w:rsidRPr="00B2758D" w:rsidRDefault="00AF4FDA" w:rsidP="00B2758D">
      <w:pPr>
        <w:pStyle w:val="berschrift2"/>
        <w:rPr>
          <w:rFonts w:asciiTheme="minorHAnsi" w:hAnsiTheme="minorHAnsi" w:cstheme="minorHAnsi"/>
          <w:b/>
          <w:bCs/>
          <w:color w:val="auto"/>
          <w:lang w:val="de-DE"/>
        </w:rPr>
      </w:pPr>
      <w:bookmarkStart w:id="5" w:name="_Toc167366288"/>
      <w:r w:rsidRPr="00B2758D">
        <w:rPr>
          <w:rFonts w:asciiTheme="minorHAnsi" w:hAnsiTheme="minorHAnsi" w:cstheme="minorHAnsi"/>
          <w:b/>
          <w:bCs/>
          <w:color w:val="auto"/>
          <w:lang w:val="de-DE"/>
        </w:rPr>
        <w:t>Bezahlte einwöchige Dienstfreistellung zur Lehrabschluss-Vorbereitung</w:t>
      </w:r>
      <w:bookmarkEnd w:id="5"/>
    </w:p>
    <w:p w14:paraId="01588FC6" w14:textId="24543A3F" w:rsidR="005D4CB6" w:rsidRPr="00AF4FDA" w:rsidRDefault="00AF4FDA" w:rsidP="00AF4FDA">
      <w:pPr>
        <w:rPr>
          <w:rFonts w:cstheme="minorHAnsi"/>
          <w:bCs/>
          <w:lang w:val="de-DE"/>
        </w:rPr>
      </w:pPr>
      <w:r w:rsidRPr="00AF4FDA">
        <w:rPr>
          <w:rFonts w:cstheme="minorHAnsi"/>
          <w:bCs/>
          <w:lang w:val="de-DE"/>
        </w:rPr>
        <w:t>Um die Durchfallsraten bei Lehrabschlussprüfungen zu minimieren, sollten Lehrlingen ein Anspruch auf eine Woche bezahlte Freistellung zum Lernen oder für die Absolvierung eines Vorbereitungskurses eingeräumt werden.</w:t>
      </w:r>
    </w:p>
    <w:p w14:paraId="08255989" w14:textId="316DA2E8" w:rsidR="00AF4FDA" w:rsidRPr="00B2758D" w:rsidRDefault="00AF4FDA" w:rsidP="00B2758D">
      <w:pPr>
        <w:pStyle w:val="berschrift1"/>
        <w:rPr>
          <w:rFonts w:asciiTheme="minorHAnsi" w:hAnsiTheme="minorHAnsi" w:cstheme="minorHAnsi"/>
          <w:b/>
          <w:bCs/>
          <w:color w:val="auto"/>
          <w:lang w:val="de-DE"/>
        </w:rPr>
      </w:pPr>
      <w:bookmarkStart w:id="6" w:name="_Toc167366289"/>
      <w:bookmarkStart w:id="7" w:name="_Hlk167357971"/>
      <w:r w:rsidRPr="00B2758D">
        <w:rPr>
          <w:rFonts w:asciiTheme="minorHAnsi" w:hAnsiTheme="minorHAnsi" w:cstheme="minorHAnsi"/>
          <w:b/>
          <w:bCs/>
          <w:color w:val="auto"/>
          <w:lang w:val="de-DE"/>
        </w:rPr>
        <w:t>ARBEITSMARKT</w:t>
      </w:r>
      <w:bookmarkEnd w:id="6"/>
    </w:p>
    <w:p w14:paraId="1BE888E8" w14:textId="4BEEC99B" w:rsidR="00AF4FDA" w:rsidRDefault="00AF4FDA" w:rsidP="00AF4FDA">
      <w:pPr>
        <w:rPr>
          <w:lang w:val="de-DE"/>
        </w:rPr>
      </w:pPr>
      <w:bookmarkStart w:id="8" w:name="_Toc167366290"/>
      <w:r w:rsidRPr="008009F0">
        <w:rPr>
          <w:rStyle w:val="berschrift2Zchn"/>
          <w:rFonts w:asciiTheme="minorHAnsi" w:hAnsiTheme="minorHAnsi" w:cstheme="minorHAnsi"/>
          <w:b/>
          <w:bCs/>
          <w:color w:val="auto"/>
          <w:lang w:val="de-DE"/>
        </w:rPr>
        <w:t>Keine degressive Gestaltung des Arbeitslosengeldes.</w:t>
      </w:r>
      <w:bookmarkEnd w:id="8"/>
      <w:r w:rsidRPr="008009F0">
        <w:rPr>
          <w:rStyle w:val="berschrift2Zchn"/>
          <w:rFonts w:asciiTheme="minorHAnsi" w:hAnsiTheme="minorHAnsi" w:cstheme="minorHAnsi"/>
          <w:b/>
          <w:bCs/>
          <w:color w:val="auto"/>
          <w:lang w:val="de-DE"/>
        </w:rPr>
        <w:br/>
      </w:r>
      <w:r>
        <w:rPr>
          <w:lang w:val="de-DE"/>
        </w:rPr>
        <w:t>Längere Arbeitslosigkeit ist in Österreich in der Regel mit zusätzlichen Vermittlungshindernissen</w:t>
      </w:r>
      <w:r w:rsidR="00594989">
        <w:rPr>
          <w:lang w:val="de-DE"/>
        </w:rPr>
        <w:t>,</w:t>
      </w:r>
      <w:r>
        <w:rPr>
          <w:lang w:val="de-DE"/>
        </w:rPr>
        <w:t xml:space="preserve"> wie etwa gesundheitlichen Problemen, verknüpft. Eine Absenkung der Nettoersatzrate des Arbeitslosengeldes im Zeitverlauf prekarisiert daher Arbeitslose und deren Familien zusätzlich</w:t>
      </w:r>
      <w:r w:rsidR="00594989">
        <w:rPr>
          <w:lang w:val="de-DE"/>
        </w:rPr>
        <w:t>,</w:t>
      </w:r>
      <w:r>
        <w:rPr>
          <w:lang w:val="de-DE"/>
        </w:rPr>
        <w:t xml:space="preserve"> ohne notwendigerweise zu einer schnelleren Vermittlung zu führen.</w:t>
      </w:r>
    </w:p>
    <w:p w14:paraId="42D8DF3C" w14:textId="172E17DC" w:rsidR="00AF4FDA" w:rsidRDefault="00AF4FDA" w:rsidP="00AF4FDA">
      <w:bookmarkStart w:id="9" w:name="_Toc167366291"/>
      <w:r w:rsidRPr="008009F0">
        <w:rPr>
          <w:rStyle w:val="berschrift2Zchn"/>
          <w:rFonts w:asciiTheme="minorHAnsi" w:hAnsiTheme="minorHAnsi" w:cstheme="minorHAnsi"/>
          <w:b/>
          <w:bCs/>
          <w:color w:val="auto"/>
          <w:lang w:val="de-DE"/>
        </w:rPr>
        <w:t>Recht auf Weiterbildung in der Arbeitslosigkeit.</w:t>
      </w:r>
      <w:bookmarkEnd w:id="9"/>
      <w:r w:rsidRPr="008009F0">
        <w:rPr>
          <w:rStyle w:val="berschrift2Zchn"/>
          <w:rFonts w:asciiTheme="minorHAnsi" w:hAnsiTheme="minorHAnsi" w:cstheme="minorHAnsi"/>
          <w:b/>
          <w:bCs/>
          <w:color w:val="auto"/>
          <w:lang w:val="de-DE"/>
        </w:rPr>
        <w:br/>
      </w:r>
      <w:r>
        <w:t>Um eine dauerhafte Vermittlung in gute Jobs zu gewährleisten, muss Arbeitssuchenden die Möglichkeit geboten werden, ihre Qualifikationen auszubauen. Nur so kann das Risiko verringert werden, dass Arbeitssuchende in der Dreh-und-Angel-Tür zwischen Arbeitslosigkeit und prekärer Arbeit stecken bleiben.</w:t>
      </w:r>
    </w:p>
    <w:p w14:paraId="5D2E82AB" w14:textId="7007CC47" w:rsidR="000C2A99" w:rsidRPr="00257EA5" w:rsidRDefault="000C2A99" w:rsidP="00257EA5">
      <w:pPr>
        <w:pStyle w:val="berschrift1"/>
        <w:rPr>
          <w:rFonts w:asciiTheme="minorHAnsi" w:hAnsiTheme="minorHAnsi" w:cstheme="minorHAnsi"/>
          <w:b/>
          <w:bCs/>
          <w:color w:val="auto"/>
          <w:lang w:val="de-DE"/>
        </w:rPr>
      </w:pPr>
      <w:r w:rsidRPr="00257EA5">
        <w:rPr>
          <w:rFonts w:asciiTheme="minorHAnsi" w:hAnsiTheme="minorHAnsi" w:cstheme="minorHAnsi"/>
          <w:b/>
          <w:bCs/>
          <w:color w:val="auto"/>
          <w:lang w:val="de-DE"/>
        </w:rPr>
        <w:lastRenderedPageBreak/>
        <w:t>WIRTSCHAFTSPOLITIK</w:t>
      </w:r>
    </w:p>
    <w:p w14:paraId="7634C097" w14:textId="045ACBAD" w:rsidR="000C2A99" w:rsidRPr="00257EA5" w:rsidRDefault="000C689D" w:rsidP="00257EA5">
      <w:pPr>
        <w:pStyle w:val="berschrift2"/>
        <w:rPr>
          <w:rFonts w:asciiTheme="minorHAnsi" w:hAnsiTheme="minorHAnsi" w:cstheme="minorHAnsi"/>
          <w:b/>
          <w:bCs/>
          <w:color w:val="auto"/>
          <w:lang w:val="de-DE"/>
        </w:rPr>
      </w:pPr>
      <w:r w:rsidRPr="00257EA5">
        <w:rPr>
          <w:rFonts w:asciiTheme="minorHAnsi" w:hAnsiTheme="minorHAnsi" w:cstheme="minorHAnsi"/>
          <w:b/>
          <w:bCs/>
          <w:color w:val="auto"/>
          <w:lang w:val="de-DE"/>
        </w:rPr>
        <w:t>Anpassung des Veranlagungsfreibetrags</w:t>
      </w:r>
    </w:p>
    <w:p w14:paraId="2A447188" w14:textId="5C454864" w:rsidR="000C689D" w:rsidRDefault="000C689D" w:rsidP="00AF4FDA">
      <w:r w:rsidRPr="000C689D">
        <w:t>De</w:t>
      </w:r>
      <w:r>
        <w:t xml:space="preserve">r </w:t>
      </w:r>
      <w:r w:rsidRPr="000C689D">
        <w:t xml:space="preserve">Veranlagungsfreibetrag </w:t>
      </w:r>
      <w:r w:rsidR="00095ED5">
        <w:t xml:space="preserve">soll </w:t>
      </w:r>
      <w:r w:rsidRPr="000C689D">
        <w:t xml:space="preserve">auf € 2.700.- pro Jahr </w:t>
      </w:r>
      <w:r w:rsidR="00095ED5">
        <w:t>(derzeit € 730)</w:t>
      </w:r>
      <w:r w:rsidR="00095ED5" w:rsidRPr="000C689D">
        <w:t xml:space="preserve"> </w:t>
      </w:r>
      <w:r w:rsidRPr="000C689D">
        <w:t>erhöh</w:t>
      </w:r>
      <w:r w:rsidR="00095ED5">
        <w:t>t werden,</w:t>
      </w:r>
      <w:r>
        <w:t xml:space="preserve"> </w:t>
      </w:r>
      <w:r w:rsidRPr="000C689D">
        <w:t>um steuerfreie Zuverdienste bis zu diesem Betrag zu ermöglichen.</w:t>
      </w:r>
    </w:p>
    <w:p w14:paraId="057E5F39" w14:textId="0B52922A" w:rsidR="000C2A99" w:rsidRPr="00257EA5" w:rsidRDefault="000C689D" w:rsidP="00257EA5">
      <w:pPr>
        <w:pStyle w:val="berschrift2"/>
        <w:rPr>
          <w:rFonts w:asciiTheme="minorHAnsi" w:hAnsiTheme="minorHAnsi" w:cstheme="minorHAnsi"/>
          <w:b/>
          <w:bCs/>
          <w:color w:val="auto"/>
          <w:lang w:val="de-DE"/>
        </w:rPr>
      </w:pPr>
      <w:r w:rsidRPr="00257EA5">
        <w:rPr>
          <w:rFonts w:asciiTheme="minorHAnsi" w:hAnsiTheme="minorHAnsi" w:cstheme="minorHAnsi"/>
          <w:b/>
          <w:bCs/>
          <w:color w:val="auto"/>
          <w:lang w:val="de-DE"/>
        </w:rPr>
        <w:t>Inflationsanpassung der Behindertenfreibeträge im Steuerrecht</w:t>
      </w:r>
    </w:p>
    <w:p w14:paraId="79BE1E29" w14:textId="01D7BD1C" w:rsidR="000C689D" w:rsidRDefault="000C689D" w:rsidP="00AF4FDA">
      <w:r w:rsidRPr="000C689D">
        <w:t>Die</w:t>
      </w:r>
      <w:r>
        <w:t xml:space="preserve"> </w:t>
      </w:r>
      <w:r w:rsidRPr="000C689D">
        <w:t xml:space="preserve">Steuerfreibeträge in § 35 Abs 3 Einkommensteuergesetz betreffend Minderung der Erwerbsfähigkeit </w:t>
      </w:r>
      <w:r w:rsidR="00095ED5">
        <w:t xml:space="preserve">sollen </w:t>
      </w:r>
      <w:r w:rsidRPr="000C689D">
        <w:t>jährlich der Inflation an</w:t>
      </w:r>
      <w:r w:rsidR="00095ED5">
        <w:t>ge</w:t>
      </w:r>
      <w:r w:rsidRPr="000C689D">
        <w:t>pass</w:t>
      </w:r>
      <w:r w:rsidR="00095ED5">
        <w:t>t werden</w:t>
      </w:r>
      <w:r w:rsidRPr="000C689D">
        <w:t>.</w:t>
      </w:r>
    </w:p>
    <w:p w14:paraId="107EAB27" w14:textId="025E4EC3" w:rsidR="000C689D" w:rsidRPr="00257EA5" w:rsidRDefault="000C689D" w:rsidP="00257EA5">
      <w:pPr>
        <w:pStyle w:val="berschrift2"/>
        <w:rPr>
          <w:rFonts w:asciiTheme="minorHAnsi" w:hAnsiTheme="minorHAnsi" w:cstheme="minorHAnsi"/>
          <w:b/>
          <w:bCs/>
          <w:color w:val="auto"/>
          <w:lang w:val="de-DE"/>
        </w:rPr>
      </w:pPr>
      <w:r w:rsidRPr="00257EA5">
        <w:rPr>
          <w:rFonts w:asciiTheme="minorHAnsi" w:hAnsiTheme="minorHAnsi" w:cstheme="minorHAnsi"/>
          <w:b/>
          <w:bCs/>
          <w:color w:val="auto"/>
          <w:lang w:val="de-DE"/>
        </w:rPr>
        <w:t>Anpassung der Tagesdiäten, der Nächtigungspauschale und des Kilometergelds an die Geldentwertung der letzten Jahre</w:t>
      </w:r>
    </w:p>
    <w:p w14:paraId="5699AAC4" w14:textId="3D4920C1" w:rsidR="000C689D" w:rsidRDefault="000C689D" w:rsidP="00AF4FDA">
      <w:r w:rsidRPr="000C689D">
        <w:t xml:space="preserve">Die Regelungen zu Tages- und Nächtigungsgeldern </w:t>
      </w:r>
      <w:r>
        <w:t xml:space="preserve">und zum amtlichen Kilometergeld </w:t>
      </w:r>
      <w:r w:rsidRPr="000C689D">
        <w:t xml:space="preserve">gelten in der bestehenden Höhe seit </w:t>
      </w:r>
      <w:r>
        <w:t>vielen Jahren (</w:t>
      </w:r>
      <w:r w:rsidRPr="000C689D">
        <w:t xml:space="preserve">2002 </w:t>
      </w:r>
      <w:r>
        <w:t xml:space="preserve">bzw. 2008) </w:t>
      </w:r>
      <w:r w:rsidRPr="000C689D">
        <w:t>unverändert.</w:t>
      </w:r>
      <w:r>
        <w:t xml:space="preserve"> </w:t>
      </w:r>
      <w:r w:rsidRPr="000C689D">
        <w:t>Aufgrund der Inflationsentwicklung der letzten Jahre haben diese Beträge stark an realem Wert verloren.</w:t>
      </w:r>
      <w:r>
        <w:t xml:space="preserve"> D</w:t>
      </w:r>
      <w:r w:rsidR="00095ED5">
        <w:t xml:space="preserve">ie Höhe dieser </w:t>
      </w:r>
      <w:r w:rsidR="00895631">
        <w:t>G</w:t>
      </w:r>
      <w:r w:rsidR="00095ED5">
        <w:t xml:space="preserve">elder soll </w:t>
      </w:r>
      <w:r w:rsidRPr="000C689D">
        <w:t>entsprechend der Entwicklung des Verbraucherpreisindex erhöh</w:t>
      </w:r>
      <w:r w:rsidR="00095ED5">
        <w:t xml:space="preserve">t </w:t>
      </w:r>
      <w:r w:rsidRPr="000C689D">
        <w:t xml:space="preserve">und diese in weiterer Folge dauerhaft an die Inflationsentwicklung </w:t>
      </w:r>
      <w:r w:rsidR="00095ED5">
        <w:t>gebunden werden</w:t>
      </w:r>
      <w:r w:rsidRPr="000C689D">
        <w:t>.</w:t>
      </w:r>
    </w:p>
    <w:p w14:paraId="77EC6E53" w14:textId="20199F30" w:rsidR="000C689D" w:rsidRPr="00257EA5" w:rsidRDefault="000C689D" w:rsidP="00257EA5">
      <w:pPr>
        <w:pStyle w:val="berschrift2"/>
        <w:rPr>
          <w:rFonts w:asciiTheme="minorHAnsi" w:hAnsiTheme="minorHAnsi" w:cstheme="minorHAnsi"/>
          <w:b/>
          <w:bCs/>
          <w:color w:val="auto"/>
          <w:lang w:val="de-DE"/>
        </w:rPr>
      </w:pPr>
      <w:r w:rsidRPr="00257EA5">
        <w:rPr>
          <w:rFonts w:asciiTheme="minorHAnsi" w:hAnsiTheme="minorHAnsi" w:cstheme="minorHAnsi"/>
          <w:b/>
          <w:bCs/>
          <w:color w:val="auto"/>
          <w:lang w:val="de-DE"/>
        </w:rPr>
        <w:t>Die Pendlerpauschale in einen kilometerabhängigen Absetzbetrag umwandeln</w:t>
      </w:r>
    </w:p>
    <w:p w14:paraId="2ADA5461" w14:textId="40E6AE03" w:rsidR="000C689D" w:rsidRDefault="000C689D" w:rsidP="00AF4FDA">
      <w:r w:rsidRPr="000C689D">
        <w:t xml:space="preserve">Die derzeitige Ausgestaltung des Pendlerpauschales als steuerlicher Freibetrag </w:t>
      </w:r>
      <w:r w:rsidR="00257EA5">
        <w:t xml:space="preserve">und die </w:t>
      </w:r>
      <w:r w:rsidR="00257EA5" w:rsidRPr="000C689D">
        <w:t xml:space="preserve">erfolgte Verdoppelung des Pendlerpauschales </w:t>
      </w:r>
      <w:r w:rsidRPr="000C689D">
        <w:t>begünstigt Besserverdiener</w:t>
      </w:r>
      <w:r w:rsidR="00AD6E38">
        <w:t>:</w:t>
      </w:r>
      <w:r w:rsidRPr="000C689D">
        <w:t xml:space="preserve">innen gegenüber kleinen und mittleren Einkommen. </w:t>
      </w:r>
      <w:r w:rsidR="00AD6E38">
        <w:t xml:space="preserve">Durch die Umwandlung der </w:t>
      </w:r>
      <w:r w:rsidRPr="000C689D">
        <w:t xml:space="preserve">Pendlerpauschale in einen Pendlerabsetzbetrag, </w:t>
      </w:r>
      <w:r w:rsidR="00AD6E38">
        <w:t xml:space="preserve">wirkt </w:t>
      </w:r>
      <w:r w:rsidRPr="000C689D">
        <w:t xml:space="preserve">dieser einkommensunabhängig und </w:t>
      </w:r>
      <w:r w:rsidR="00AD6E38">
        <w:t xml:space="preserve">reduziert </w:t>
      </w:r>
      <w:r w:rsidRPr="000C689D">
        <w:t>die Steuerlast 1:1. Um ungerechte Sprünge an den Grenzen zu verhindern, könnte der Absetzbetrag je Kilometer Wegstrecke zustehen und nicht gestaffelt wie bisher.</w:t>
      </w:r>
    </w:p>
    <w:p w14:paraId="19BCEDFB" w14:textId="60A01D86" w:rsidR="00F55C46" w:rsidRPr="00B2758D" w:rsidRDefault="00F55C46" w:rsidP="00B2758D">
      <w:pPr>
        <w:pStyle w:val="berschrift1"/>
        <w:rPr>
          <w:rFonts w:asciiTheme="minorHAnsi" w:hAnsiTheme="minorHAnsi" w:cstheme="minorHAnsi"/>
          <w:b/>
          <w:bCs/>
          <w:color w:val="auto"/>
          <w:lang w:val="de-DE"/>
        </w:rPr>
      </w:pPr>
      <w:bookmarkStart w:id="10" w:name="_Toc167366292"/>
      <w:r w:rsidRPr="00B2758D">
        <w:rPr>
          <w:rFonts w:asciiTheme="minorHAnsi" w:hAnsiTheme="minorHAnsi" w:cstheme="minorHAnsi"/>
          <w:b/>
          <w:bCs/>
          <w:color w:val="auto"/>
          <w:lang w:val="de-DE"/>
        </w:rPr>
        <w:t>SOZIALES</w:t>
      </w:r>
      <w:bookmarkEnd w:id="10"/>
    </w:p>
    <w:p w14:paraId="2F0C5BAA" w14:textId="7183948A" w:rsidR="00AF4FDA" w:rsidRPr="00B2758D" w:rsidRDefault="00507001" w:rsidP="00B2758D">
      <w:pPr>
        <w:pStyle w:val="berschrift2"/>
        <w:rPr>
          <w:rFonts w:asciiTheme="minorHAnsi" w:hAnsiTheme="minorHAnsi" w:cstheme="minorHAnsi"/>
          <w:b/>
          <w:bCs/>
          <w:color w:val="auto"/>
          <w:lang w:val="de-DE"/>
        </w:rPr>
      </w:pPr>
      <w:bookmarkStart w:id="11" w:name="_Toc167366293"/>
      <w:bookmarkEnd w:id="7"/>
      <w:r w:rsidRPr="00B2758D">
        <w:rPr>
          <w:rFonts w:asciiTheme="minorHAnsi" w:hAnsiTheme="minorHAnsi" w:cstheme="minorHAnsi"/>
          <w:b/>
          <w:bCs/>
          <w:color w:val="auto"/>
          <w:lang w:val="de-DE"/>
        </w:rPr>
        <w:t>Schwerarbeitspension: „Beruf</w:t>
      </w:r>
      <w:r w:rsidR="00DA4323">
        <w:rPr>
          <w:rFonts w:asciiTheme="minorHAnsi" w:hAnsiTheme="minorHAnsi" w:cstheme="minorHAnsi"/>
          <w:b/>
          <w:bCs/>
          <w:color w:val="auto"/>
          <w:lang w:val="de-DE"/>
        </w:rPr>
        <w:t>s</w:t>
      </w:r>
      <w:r w:rsidRPr="00B2758D">
        <w:rPr>
          <w:rFonts w:asciiTheme="minorHAnsi" w:hAnsiTheme="minorHAnsi" w:cstheme="minorHAnsi"/>
          <w:b/>
          <w:bCs/>
          <w:color w:val="auto"/>
          <w:lang w:val="de-DE"/>
        </w:rPr>
        <w:t>liste“ soll als Teil der Schwerarbeitsverordnung rechtsverbindlich sein</w:t>
      </w:r>
      <w:bookmarkEnd w:id="11"/>
    </w:p>
    <w:p w14:paraId="3410BB3E" w14:textId="3F9291E6" w:rsidR="00507001" w:rsidRDefault="00507001" w:rsidP="00507001">
      <w:r w:rsidRPr="00507001">
        <w:t xml:space="preserve">In der Praxis zeigt sich, dass </w:t>
      </w:r>
      <w:r>
        <w:t>bei der Anwendung der bislang unverbindlichen „Berufsliste“</w:t>
      </w:r>
      <w:r w:rsidR="00594989">
        <w:t>,</w:t>
      </w:r>
      <w:r>
        <w:t xml:space="preserve"> die </w:t>
      </w:r>
      <w:r w:rsidRPr="00507001">
        <w:t xml:space="preserve">Entscheidungsfindung, welche Tätigkeiten </w:t>
      </w:r>
      <w:r w:rsidR="00594989">
        <w:t>als Schwerarbeit gelten, im Einzel</w:t>
      </w:r>
      <w:r>
        <w:t xml:space="preserve">fall </w:t>
      </w:r>
      <w:r w:rsidRPr="00507001">
        <w:t>immer wieder uneinheitlich</w:t>
      </w:r>
      <w:r w:rsidR="00594989">
        <w:t xml:space="preserve"> erfolgt</w:t>
      </w:r>
      <w:r w:rsidRPr="00507001">
        <w:t xml:space="preserve">. So kommt es in nicht nachvollziehbarer Weise öfters zu Situationen, </w:t>
      </w:r>
      <w:r>
        <w:t xml:space="preserve">bei denen </w:t>
      </w:r>
      <w:r w:rsidRPr="00507001">
        <w:t>einzelne Arbeitnehmer</w:t>
      </w:r>
      <w:r>
        <w:t>:innen</w:t>
      </w:r>
      <w:r w:rsidRPr="00507001">
        <w:t xml:space="preserve"> </w:t>
      </w:r>
      <w:r>
        <w:t>vo</w:t>
      </w:r>
      <w:r w:rsidR="00B9660D">
        <w:t>m</w:t>
      </w:r>
      <w:r>
        <w:t xml:space="preserve"> </w:t>
      </w:r>
      <w:r w:rsidRPr="00507001">
        <w:t>gleiche</w:t>
      </w:r>
      <w:r>
        <w:t>n</w:t>
      </w:r>
      <w:r w:rsidRPr="00507001">
        <w:t xml:space="preserve"> Unternehmen mit exakt derselben Tätigkeit </w:t>
      </w:r>
      <w:r>
        <w:t xml:space="preserve">für den Anspruch auf Schwerarbeitspension </w:t>
      </w:r>
      <w:r w:rsidRPr="00507001">
        <w:t>unterschiedlich beurteilt werden</w:t>
      </w:r>
      <w:r>
        <w:t>.</w:t>
      </w:r>
    </w:p>
    <w:p w14:paraId="7878F77F" w14:textId="24F2F98B" w:rsidR="006602C5" w:rsidRPr="00B2758D" w:rsidRDefault="006602C5" w:rsidP="00B2758D">
      <w:pPr>
        <w:pStyle w:val="berschrift2"/>
        <w:rPr>
          <w:rFonts w:asciiTheme="minorHAnsi" w:hAnsiTheme="minorHAnsi" w:cstheme="minorHAnsi"/>
          <w:b/>
          <w:bCs/>
          <w:color w:val="auto"/>
          <w:lang w:val="de-DE"/>
        </w:rPr>
      </w:pPr>
      <w:bookmarkStart w:id="12" w:name="_Toc167366294"/>
      <w:r w:rsidRPr="00B2758D">
        <w:rPr>
          <w:rFonts w:asciiTheme="minorHAnsi" w:hAnsiTheme="minorHAnsi" w:cstheme="minorHAnsi"/>
          <w:b/>
          <w:bCs/>
          <w:color w:val="auto"/>
          <w:lang w:val="de-DE"/>
        </w:rPr>
        <w:t>Ausbau der kontinuierlichen Altersteilzeit auf 7 Jahre</w:t>
      </w:r>
      <w:r w:rsidR="004C18C5" w:rsidRPr="00B2758D">
        <w:rPr>
          <w:rFonts w:asciiTheme="minorHAnsi" w:hAnsiTheme="minorHAnsi" w:cstheme="minorHAnsi"/>
          <w:b/>
          <w:bCs/>
          <w:color w:val="auto"/>
          <w:lang w:val="de-DE"/>
        </w:rPr>
        <w:t xml:space="preserve"> mit Rechtsanspruch</w:t>
      </w:r>
      <w:bookmarkEnd w:id="12"/>
    </w:p>
    <w:p w14:paraId="595B71A4" w14:textId="6976A21C" w:rsidR="006602C5" w:rsidRDefault="006602C5" w:rsidP="006602C5">
      <w:r>
        <w:t>Die Altersteilzeit stellt ein wertvolles Instrument dar, um ältere Arbeitnehmer</w:t>
      </w:r>
      <w:r w:rsidR="004C18C5">
        <w:t>:i</w:t>
      </w:r>
      <w:r>
        <w:t>nnen länger im Arbeitsleben zu halten. Die Schnelllebigkeit des Arbeitslebens, insbesondere die Herausforderungen der sich stets wandelnden Informationstechnologie, stellt für ältere Arbeitnehmer</w:t>
      </w:r>
      <w:r w:rsidR="00B9660D">
        <w:t>:i</w:t>
      </w:r>
      <w:r>
        <w:t>nnen ein</w:t>
      </w:r>
      <w:r w:rsidR="004C18C5">
        <w:t>e</w:t>
      </w:r>
      <w:r>
        <w:t xml:space="preserve"> große Belastung dar, sodass ein verlängerter Zeitraum für Altersteilzeit einerseits zur Gesunderhaltung der Arbeitnehmer</w:t>
      </w:r>
      <w:r w:rsidR="00B62EF7">
        <w:t>:i</w:t>
      </w:r>
      <w:r>
        <w:t>nnen und andererseits zu einem tatsächlich höheren Pensionsantrittsalter beitragen würde.</w:t>
      </w:r>
      <w:r w:rsidR="004C18C5">
        <w:t xml:space="preserve"> </w:t>
      </w:r>
      <w:r>
        <w:t>Es wird daher angeregt, die maximale Dauer der Altersteilzeit auf z.B. 7 Jahre zu erhöhen und auch einen Rechtsanspruch für die Inanspruchnahme von Altersteilzeit zu implementieren.</w:t>
      </w:r>
    </w:p>
    <w:p w14:paraId="5BA7B4D0" w14:textId="60BF180E" w:rsidR="00513A26" w:rsidRPr="00B2758D" w:rsidRDefault="008E129B" w:rsidP="00B2758D">
      <w:pPr>
        <w:pStyle w:val="berschrift1"/>
        <w:rPr>
          <w:rFonts w:asciiTheme="minorHAnsi" w:hAnsiTheme="minorHAnsi" w:cstheme="minorHAnsi"/>
          <w:b/>
          <w:bCs/>
          <w:color w:val="auto"/>
          <w:lang w:val="de-DE"/>
        </w:rPr>
      </w:pPr>
      <w:bookmarkStart w:id="13" w:name="_Toc167366295"/>
      <w:r w:rsidRPr="00B2758D">
        <w:rPr>
          <w:rFonts w:asciiTheme="minorHAnsi" w:hAnsiTheme="minorHAnsi" w:cstheme="minorHAnsi"/>
          <w:b/>
          <w:bCs/>
          <w:color w:val="auto"/>
          <w:lang w:val="de-DE"/>
        </w:rPr>
        <w:lastRenderedPageBreak/>
        <w:t>K</w:t>
      </w:r>
      <w:r w:rsidR="00AF4FDA" w:rsidRPr="00B2758D">
        <w:rPr>
          <w:rFonts w:asciiTheme="minorHAnsi" w:hAnsiTheme="minorHAnsi" w:cstheme="minorHAnsi"/>
          <w:b/>
          <w:bCs/>
          <w:color w:val="auto"/>
          <w:lang w:val="de-DE"/>
        </w:rPr>
        <w:t>ONSUMENT</w:t>
      </w:r>
      <w:bookmarkEnd w:id="13"/>
    </w:p>
    <w:p w14:paraId="4BD07B89" w14:textId="7F762F35" w:rsidR="008E129B" w:rsidRPr="00B2758D" w:rsidRDefault="005D4CB6" w:rsidP="00B2758D">
      <w:pPr>
        <w:pStyle w:val="berschrift2"/>
        <w:rPr>
          <w:rFonts w:asciiTheme="minorHAnsi" w:hAnsiTheme="minorHAnsi" w:cstheme="minorHAnsi"/>
          <w:b/>
          <w:bCs/>
          <w:color w:val="auto"/>
          <w:lang w:val="de-DE"/>
        </w:rPr>
      </w:pPr>
      <w:bookmarkStart w:id="14" w:name="_Toc167366296"/>
      <w:r w:rsidRPr="00B2758D">
        <w:rPr>
          <w:rFonts w:asciiTheme="minorHAnsi" w:hAnsiTheme="minorHAnsi" w:cstheme="minorHAnsi"/>
          <w:b/>
          <w:bCs/>
          <w:color w:val="auto"/>
          <w:lang w:val="de-DE"/>
        </w:rPr>
        <w:t>Verpflichtende Annahme von Bargeld und Wahlfreiheit bei Bezahlung.</w:t>
      </w:r>
      <w:bookmarkEnd w:id="14"/>
    </w:p>
    <w:p w14:paraId="0FE53E7B" w14:textId="2637017C" w:rsidR="005D4CB6" w:rsidRPr="00AF4FDA" w:rsidRDefault="005D4CB6" w:rsidP="005D4CB6">
      <w:pPr>
        <w:pStyle w:val="Listenabsatz"/>
        <w:ind w:left="0"/>
        <w:rPr>
          <w:rFonts w:cstheme="minorHAnsi"/>
        </w:rPr>
      </w:pPr>
      <w:r w:rsidRPr="00AF4FDA">
        <w:rPr>
          <w:rFonts w:cstheme="minorHAnsi"/>
        </w:rPr>
        <w:t>In Österreich soll eine uneingeschränkte Annahmepflicht von Bargeld gesetzlich vorgesehen werden und durch geeignete gesetzliche Maßnahmen für eine ausreichende und flächendeckende Bargeldversorgung gesorgt werden.</w:t>
      </w:r>
    </w:p>
    <w:p w14:paraId="401A5EC4" w14:textId="0E36091E" w:rsidR="00EF4A43" w:rsidRPr="00B2758D" w:rsidRDefault="00EF4A43" w:rsidP="00B2758D">
      <w:pPr>
        <w:pStyle w:val="berschrift2"/>
        <w:rPr>
          <w:rFonts w:asciiTheme="minorHAnsi" w:hAnsiTheme="minorHAnsi" w:cstheme="minorHAnsi"/>
          <w:b/>
          <w:bCs/>
          <w:color w:val="auto"/>
          <w:lang w:val="de-DE"/>
        </w:rPr>
      </w:pPr>
      <w:bookmarkStart w:id="15" w:name="_Toc167366297"/>
      <w:r w:rsidRPr="00B2758D">
        <w:rPr>
          <w:rFonts w:asciiTheme="minorHAnsi" w:hAnsiTheme="minorHAnsi" w:cstheme="minorHAnsi"/>
          <w:b/>
          <w:bCs/>
          <w:color w:val="auto"/>
          <w:lang w:val="de-DE"/>
        </w:rPr>
        <w:t>Konsument:innenfreundliche Änderung der Mautordnung der Asfinag.</w:t>
      </w:r>
      <w:bookmarkEnd w:id="15"/>
    </w:p>
    <w:p w14:paraId="752FEF1B" w14:textId="586E3F12" w:rsidR="00B92E53" w:rsidRDefault="00EF4A43" w:rsidP="00B43F0B">
      <w:pPr>
        <w:rPr>
          <w:rFonts w:cstheme="minorHAnsi"/>
        </w:rPr>
      </w:pPr>
      <w:r w:rsidRPr="00AF4FDA">
        <w:rPr>
          <w:rFonts w:cstheme="minorHAnsi"/>
        </w:rPr>
        <w:t>Die Bestimmungen bezüglich Einhebung zur Ersatzmaut sollen konsument:innenfreundlicher gestaltet werden, um die Gefahr von mehrfachen Ersatzmaut-Forderungen oder Verwaltungsstrafverfahren zu verkleinern. Hierzu zählt insbesondere auch ein verbessertes Informations- und Mahnwesen.</w:t>
      </w:r>
    </w:p>
    <w:p w14:paraId="5FD27683" w14:textId="3D742DA0" w:rsidR="00E97D5C" w:rsidRPr="00B2758D" w:rsidRDefault="00E97D5C" w:rsidP="00B2758D">
      <w:pPr>
        <w:pStyle w:val="berschrift1"/>
        <w:rPr>
          <w:rFonts w:asciiTheme="minorHAnsi" w:hAnsiTheme="minorHAnsi" w:cstheme="minorHAnsi"/>
          <w:b/>
          <w:bCs/>
          <w:color w:val="auto"/>
          <w:lang w:val="de-DE"/>
        </w:rPr>
      </w:pPr>
      <w:bookmarkStart w:id="16" w:name="_Toc167366298"/>
      <w:r w:rsidRPr="00B2758D">
        <w:rPr>
          <w:rFonts w:asciiTheme="minorHAnsi" w:hAnsiTheme="minorHAnsi" w:cstheme="minorHAnsi"/>
          <w:b/>
          <w:bCs/>
          <w:color w:val="auto"/>
          <w:lang w:val="de-DE"/>
        </w:rPr>
        <w:t>WOHNEN</w:t>
      </w:r>
      <w:bookmarkEnd w:id="16"/>
    </w:p>
    <w:p w14:paraId="7331B878" w14:textId="446F99FA" w:rsidR="00E97D5C" w:rsidRPr="00B2758D" w:rsidRDefault="00E97D5C" w:rsidP="00B2758D">
      <w:pPr>
        <w:pStyle w:val="berschrift2"/>
        <w:rPr>
          <w:rFonts w:asciiTheme="minorHAnsi" w:hAnsiTheme="minorHAnsi" w:cstheme="minorHAnsi"/>
          <w:b/>
          <w:bCs/>
          <w:color w:val="auto"/>
          <w:lang w:val="de-DE"/>
        </w:rPr>
      </w:pPr>
      <w:bookmarkStart w:id="17" w:name="_Toc167366299"/>
      <w:r w:rsidRPr="00B2758D">
        <w:rPr>
          <w:rFonts w:asciiTheme="minorHAnsi" w:hAnsiTheme="minorHAnsi" w:cstheme="minorHAnsi"/>
          <w:b/>
          <w:bCs/>
          <w:color w:val="auto"/>
          <w:lang w:val="de-DE"/>
        </w:rPr>
        <w:t>Keine Weiterverrechnung der Grundsteuer, Verwaltungs- und Versicherungskosten an Mieter</w:t>
      </w:r>
      <w:bookmarkEnd w:id="17"/>
      <w:r w:rsidR="0083155D">
        <w:rPr>
          <w:rFonts w:asciiTheme="minorHAnsi" w:hAnsiTheme="minorHAnsi" w:cstheme="minorHAnsi"/>
          <w:b/>
          <w:bCs/>
          <w:color w:val="auto"/>
          <w:lang w:val="de-DE"/>
        </w:rPr>
        <w:t>:innen</w:t>
      </w:r>
    </w:p>
    <w:p w14:paraId="7D620CEC" w14:textId="59A3EE3D" w:rsidR="00E97D5C" w:rsidRDefault="00E97D5C" w:rsidP="00B43F0B">
      <w:pPr>
        <w:rPr>
          <w:rFonts w:cstheme="minorHAnsi"/>
        </w:rPr>
      </w:pPr>
      <w:r>
        <w:rPr>
          <w:rFonts w:cstheme="minorHAnsi"/>
        </w:rPr>
        <w:t>D</w:t>
      </w:r>
      <w:r w:rsidRPr="00E97D5C">
        <w:rPr>
          <w:rFonts w:cstheme="minorHAnsi"/>
        </w:rPr>
        <w:t>er Betriebskostenkatalog des</w:t>
      </w:r>
      <w:r w:rsidR="00594989">
        <w:rPr>
          <w:rFonts w:cstheme="minorHAnsi"/>
        </w:rPr>
        <w:t xml:space="preserve"> Mietrechtsgesetz </w:t>
      </w:r>
      <w:r>
        <w:rPr>
          <w:rFonts w:cstheme="minorHAnsi"/>
        </w:rPr>
        <w:t xml:space="preserve">soll </w:t>
      </w:r>
      <w:r w:rsidRPr="00E97D5C">
        <w:rPr>
          <w:rFonts w:cstheme="minorHAnsi"/>
        </w:rPr>
        <w:t>dahingehend reformiert w</w:t>
      </w:r>
      <w:r>
        <w:rPr>
          <w:rFonts w:cstheme="minorHAnsi"/>
        </w:rPr>
        <w:t>e</w:t>
      </w:r>
      <w:r w:rsidRPr="00E97D5C">
        <w:rPr>
          <w:rFonts w:cstheme="minorHAnsi"/>
        </w:rPr>
        <w:t>rd</w:t>
      </w:r>
      <w:r>
        <w:rPr>
          <w:rFonts w:cstheme="minorHAnsi"/>
        </w:rPr>
        <w:t>en</w:t>
      </w:r>
      <w:r w:rsidRPr="00E97D5C">
        <w:rPr>
          <w:rFonts w:cstheme="minorHAnsi"/>
        </w:rPr>
        <w:t>, dass als Betriebskosten nur jene Kostenarten gelten, die Mieter</w:t>
      </w:r>
      <w:r w:rsidR="0083155D">
        <w:rPr>
          <w:rFonts w:cstheme="minorHAnsi"/>
        </w:rPr>
        <w:t>:innen</w:t>
      </w:r>
      <w:r w:rsidRPr="00E97D5C">
        <w:rPr>
          <w:rFonts w:cstheme="minorHAnsi"/>
        </w:rPr>
        <w:t xml:space="preserve"> unmittelbar verursach</w:t>
      </w:r>
      <w:r w:rsidR="0083155D">
        <w:rPr>
          <w:rFonts w:cstheme="minorHAnsi"/>
        </w:rPr>
        <w:t>en</w:t>
      </w:r>
      <w:r w:rsidRPr="00E97D5C">
        <w:rPr>
          <w:rFonts w:cstheme="minorHAnsi"/>
        </w:rPr>
        <w:t>. Jedenfalls sind aber die Grundsteuer, Verwaltungs- und Versicherungskosten aus dem Betriebskostenkatalog zu streichen.</w:t>
      </w:r>
    </w:p>
    <w:p w14:paraId="3F4817D7" w14:textId="6CDD679E" w:rsidR="00E97D5C" w:rsidRPr="00B2758D" w:rsidRDefault="008C0E4F" w:rsidP="00B2758D">
      <w:pPr>
        <w:pStyle w:val="berschrift2"/>
        <w:rPr>
          <w:rFonts w:asciiTheme="minorHAnsi" w:hAnsiTheme="minorHAnsi" w:cstheme="minorHAnsi"/>
          <w:b/>
          <w:bCs/>
          <w:color w:val="auto"/>
        </w:rPr>
      </w:pPr>
      <w:bookmarkStart w:id="18" w:name="_Toc167366300"/>
      <w:r w:rsidRPr="00B2758D">
        <w:rPr>
          <w:rFonts w:asciiTheme="minorHAnsi" w:hAnsiTheme="minorHAnsi" w:cstheme="minorHAnsi"/>
          <w:b/>
          <w:bCs/>
          <w:color w:val="auto"/>
          <w:lang w:val="de-DE"/>
        </w:rPr>
        <w:t xml:space="preserve">Mietpreiserhöhungen nicht nach VPI, sondern </w:t>
      </w:r>
      <w:r w:rsidR="00594989">
        <w:rPr>
          <w:rFonts w:asciiTheme="minorHAnsi" w:hAnsiTheme="minorHAnsi" w:cstheme="minorHAnsi"/>
          <w:b/>
          <w:bCs/>
          <w:color w:val="auto"/>
          <w:lang w:val="de-DE"/>
        </w:rPr>
        <w:t xml:space="preserve">auf Basis eines </w:t>
      </w:r>
      <w:r w:rsidRPr="00B2758D">
        <w:rPr>
          <w:rFonts w:asciiTheme="minorHAnsi" w:hAnsiTheme="minorHAnsi" w:cstheme="minorHAnsi"/>
          <w:b/>
          <w:bCs/>
          <w:color w:val="auto"/>
          <w:lang w:val="de-DE"/>
        </w:rPr>
        <w:t>hypothekarische</w:t>
      </w:r>
      <w:r w:rsidR="00594989">
        <w:rPr>
          <w:rFonts w:asciiTheme="minorHAnsi" w:hAnsiTheme="minorHAnsi" w:cstheme="minorHAnsi"/>
          <w:b/>
          <w:bCs/>
          <w:color w:val="auto"/>
          <w:lang w:val="de-DE"/>
        </w:rPr>
        <w:t>n</w:t>
      </w:r>
      <w:r w:rsidRPr="00B2758D">
        <w:rPr>
          <w:rFonts w:asciiTheme="minorHAnsi" w:hAnsiTheme="minorHAnsi" w:cstheme="minorHAnsi"/>
          <w:b/>
          <w:bCs/>
          <w:color w:val="auto"/>
          <w:lang w:val="de-DE"/>
        </w:rPr>
        <w:t xml:space="preserve"> Referenzzinssatz</w:t>
      </w:r>
      <w:r w:rsidR="00594989">
        <w:rPr>
          <w:rFonts w:asciiTheme="minorHAnsi" w:hAnsiTheme="minorHAnsi" w:cstheme="minorHAnsi"/>
          <w:b/>
          <w:bCs/>
          <w:color w:val="auto"/>
          <w:lang w:val="de-DE"/>
        </w:rPr>
        <w:t>es</w:t>
      </w:r>
      <w:r w:rsidRPr="00B2758D">
        <w:rPr>
          <w:rFonts w:asciiTheme="minorHAnsi" w:hAnsiTheme="minorHAnsi" w:cstheme="minorHAnsi"/>
          <w:b/>
          <w:bCs/>
          <w:color w:val="auto"/>
          <w:lang w:val="de-DE"/>
        </w:rPr>
        <w:t xml:space="preserve"> </w:t>
      </w:r>
      <w:r w:rsidR="00594989">
        <w:rPr>
          <w:rFonts w:asciiTheme="minorHAnsi" w:hAnsiTheme="minorHAnsi" w:cstheme="minorHAnsi"/>
          <w:b/>
          <w:bCs/>
          <w:color w:val="auto"/>
          <w:lang w:val="de-DE"/>
        </w:rPr>
        <w:t>nach</w:t>
      </w:r>
      <w:r w:rsidRPr="00B2758D">
        <w:rPr>
          <w:rFonts w:asciiTheme="minorHAnsi" w:hAnsiTheme="minorHAnsi" w:cstheme="minorHAnsi"/>
          <w:b/>
          <w:bCs/>
          <w:color w:val="auto"/>
          <w:lang w:val="de-DE"/>
        </w:rPr>
        <w:t xml:space="preserve"> Schweizer</w:t>
      </w:r>
      <w:r w:rsidRPr="00B2758D">
        <w:rPr>
          <w:rFonts w:asciiTheme="minorHAnsi" w:hAnsiTheme="minorHAnsi" w:cstheme="minorHAnsi"/>
          <w:b/>
          <w:bCs/>
          <w:color w:val="auto"/>
        </w:rPr>
        <w:t xml:space="preserve"> Vorbild</w:t>
      </w:r>
      <w:bookmarkEnd w:id="18"/>
    </w:p>
    <w:p w14:paraId="3E603DEE" w14:textId="68D8C089" w:rsidR="00E97D5C" w:rsidRDefault="00E97D5C" w:rsidP="00B43F0B">
      <w:pPr>
        <w:rPr>
          <w:rFonts w:cstheme="minorHAnsi"/>
        </w:rPr>
      </w:pPr>
      <w:r w:rsidRPr="00E97D5C">
        <w:rPr>
          <w:rFonts w:cstheme="minorHAnsi"/>
        </w:rPr>
        <w:t xml:space="preserve">Im Sinne des Systems in der Schweiz soll ein neuer gesetzlicher Parameter geschaffen werden, der die </w:t>
      </w:r>
      <w:r w:rsidR="000A15AA">
        <w:rPr>
          <w:rFonts w:cstheme="minorHAnsi"/>
        </w:rPr>
        <w:t xml:space="preserve">Wertsicherung </w:t>
      </w:r>
      <w:r w:rsidRPr="00E97D5C">
        <w:rPr>
          <w:rFonts w:cstheme="minorHAnsi"/>
        </w:rPr>
        <w:t>de</w:t>
      </w:r>
      <w:r w:rsidR="000A15AA">
        <w:rPr>
          <w:rFonts w:cstheme="minorHAnsi"/>
        </w:rPr>
        <w:t>s</w:t>
      </w:r>
      <w:r w:rsidRPr="00E97D5C">
        <w:rPr>
          <w:rFonts w:cstheme="minorHAnsi"/>
        </w:rPr>
        <w:t xml:space="preserve"> Miet</w:t>
      </w:r>
      <w:r w:rsidR="000A15AA">
        <w:rPr>
          <w:rFonts w:cstheme="minorHAnsi"/>
        </w:rPr>
        <w:t>zinses</w:t>
      </w:r>
      <w:r w:rsidRPr="00E97D5C">
        <w:rPr>
          <w:rFonts w:cstheme="minorHAnsi"/>
        </w:rPr>
        <w:t xml:space="preserve"> </w:t>
      </w:r>
      <w:r w:rsidR="000A15AA">
        <w:rPr>
          <w:rFonts w:cstheme="minorHAnsi"/>
        </w:rPr>
        <w:t>von de</w:t>
      </w:r>
      <w:r w:rsidR="00741827">
        <w:rPr>
          <w:rFonts w:cstheme="minorHAnsi"/>
        </w:rPr>
        <w:t>n</w:t>
      </w:r>
      <w:r w:rsidR="000A15AA">
        <w:rPr>
          <w:rFonts w:cstheme="minorHAnsi"/>
        </w:rPr>
        <w:t xml:space="preserve"> </w:t>
      </w:r>
      <w:r w:rsidRPr="00E97D5C">
        <w:rPr>
          <w:rFonts w:cstheme="minorHAnsi"/>
        </w:rPr>
        <w:t xml:space="preserve">Veränderungen </w:t>
      </w:r>
      <w:r w:rsidR="000A15AA">
        <w:rPr>
          <w:rFonts w:cstheme="minorHAnsi"/>
        </w:rPr>
        <w:t xml:space="preserve">des Verbraucherpreisindexes </w:t>
      </w:r>
      <w:r w:rsidRPr="00E97D5C">
        <w:rPr>
          <w:rFonts w:cstheme="minorHAnsi"/>
        </w:rPr>
        <w:t>abkoppelt</w:t>
      </w:r>
      <w:r w:rsidR="000A15AA">
        <w:rPr>
          <w:rFonts w:cstheme="minorHAnsi"/>
        </w:rPr>
        <w:t>.</w:t>
      </w:r>
      <w:r w:rsidRPr="00E97D5C">
        <w:rPr>
          <w:rFonts w:cstheme="minorHAnsi"/>
        </w:rPr>
        <w:t xml:space="preserve"> </w:t>
      </w:r>
    </w:p>
    <w:p w14:paraId="241D08B9" w14:textId="741752AB" w:rsidR="00AB63B6" w:rsidRPr="00B2758D" w:rsidRDefault="00AB63B6" w:rsidP="00B2758D">
      <w:pPr>
        <w:pStyle w:val="berschrift2"/>
        <w:rPr>
          <w:rFonts w:asciiTheme="minorHAnsi" w:hAnsiTheme="minorHAnsi" w:cstheme="minorHAnsi"/>
          <w:b/>
          <w:bCs/>
          <w:color w:val="auto"/>
          <w:lang w:val="de-DE"/>
        </w:rPr>
      </w:pPr>
      <w:bookmarkStart w:id="19" w:name="_Toc167366301"/>
      <w:r w:rsidRPr="00B2758D">
        <w:rPr>
          <w:rFonts w:asciiTheme="minorHAnsi" w:hAnsiTheme="minorHAnsi" w:cstheme="minorHAnsi"/>
          <w:b/>
          <w:bCs/>
          <w:color w:val="auto"/>
          <w:lang w:val="de-DE"/>
        </w:rPr>
        <w:t xml:space="preserve">Mietkauf: </w:t>
      </w:r>
      <w:r w:rsidR="00E97D5C" w:rsidRPr="00B2758D">
        <w:rPr>
          <w:rFonts w:asciiTheme="minorHAnsi" w:hAnsiTheme="minorHAnsi" w:cstheme="minorHAnsi"/>
          <w:b/>
          <w:bCs/>
          <w:color w:val="auto"/>
          <w:lang w:val="de-DE"/>
        </w:rPr>
        <w:t>Maximale</w:t>
      </w:r>
      <w:r w:rsidR="008845CB" w:rsidRPr="00B2758D">
        <w:rPr>
          <w:rFonts w:asciiTheme="minorHAnsi" w:hAnsiTheme="minorHAnsi" w:cstheme="minorHAnsi"/>
          <w:b/>
          <w:bCs/>
          <w:color w:val="auto"/>
          <w:lang w:val="de-DE"/>
        </w:rPr>
        <w:t>r</w:t>
      </w:r>
      <w:r w:rsidR="00E97D5C" w:rsidRPr="00B2758D">
        <w:rPr>
          <w:rFonts w:asciiTheme="minorHAnsi" w:hAnsiTheme="minorHAnsi" w:cstheme="minorHAnsi"/>
          <w:b/>
          <w:bCs/>
          <w:color w:val="auto"/>
          <w:lang w:val="de-DE"/>
        </w:rPr>
        <w:t xml:space="preserve"> Kaufpreis </w:t>
      </w:r>
      <w:r w:rsidRPr="00B2758D">
        <w:rPr>
          <w:rFonts w:asciiTheme="minorHAnsi" w:hAnsiTheme="minorHAnsi" w:cstheme="minorHAnsi"/>
          <w:b/>
          <w:bCs/>
          <w:color w:val="auto"/>
          <w:lang w:val="de-DE"/>
        </w:rPr>
        <w:t>muss bereits im Mietvertrag festgelegt sein</w:t>
      </w:r>
      <w:bookmarkEnd w:id="19"/>
    </w:p>
    <w:p w14:paraId="171685A8" w14:textId="70E39B22" w:rsidR="00E97D5C" w:rsidRDefault="00E97D5C" w:rsidP="00B43F0B">
      <w:pPr>
        <w:rPr>
          <w:rFonts w:cstheme="minorHAnsi"/>
        </w:rPr>
      </w:pPr>
      <w:r>
        <w:rPr>
          <w:rFonts w:cstheme="minorHAnsi"/>
        </w:rPr>
        <w:t>K</w:t>
      </w:r>
      <w:r w:rsidRPr="00E97D5C">
        <w:rPr>
          <w:rFonts w:cstheme="minorHAnsi"/>
        </w:rPr>
        <w:t xml:space="preserve">ünftig </w:t>
      </w:r>
      <w:r>
        <w:rPr>
          <w:rFonts w:cstheme="minorHAnsi"/>
        </w:rPr>
        <w:t xml:space="preserve">soll </w:t>
      </w:r>
      <w:r w:rsidRPr="00E97D5C">
        <w:rPr>
          <w:rFonts w:cstheme="minorHAnsi"/>
        </w:rPr>
        <w:t>im Sinne einer Günstigkeitsregelung der Fixpreis nach § 15d WGG rechtsverbindlich sein. Dadurch können Mieter</w:t>
      </w:r>
      <w:r w:rsidR="000A15AA">
        <w:rPr>
          <w:rFonts w:cstheme="minorHAnsi"/>
        </w:rPr>
        <w:t>:innen</w:t>
      </w:r>
      <w:r w:rsidRPr="00E97D5C">
        <w:rPr>
          <w:rFonts w:cstheme="minorHAnsi"/>
        </w:rPr>
        <w:t xml:space="preserve"> bereits zu Beginn des Mietverhältnisses finanzielle Vorsorge für einen allfälligen Kauf des Objektes treffen</w:t>
      </w:r>
      <w:r>
        <w:rPr>
          <w:rFonts w:cstheme="minorHAnsi"/>
        </w:rPr>
        <w:t>.</w:t>
      </w:r>
    </w:p>
    <w:p w14:paraId="61E6CA24" w14:textId="786A4244" w:rsidR="00B92E53" w:rsidRPr="00B2758D" w:rsidRDefault="00B92E53" w:rsidP="00B2758D">
      <w:pPr>
        <w:pStyle w:val="berschrift1"/>
        <w:rPr>
          <w:rFonts w:asciiTheme="minorHAnsi" w:hAnsiTheme="minorHAnsi" w:cstheme="minorHAnsi"/>
          <w:b/>
          <w:bCs/>
          <w:color w:val="auto"/>
          <w:lang w:val="de-DE"/>
        </w:rPr>
      </w:pPr>
      <w:bookmarkStart w:id="20" w:name="_Toc167366302"/>
      <w:r w:rsidRPr="00B2758D">
        <w:rPr>
          <w:rFonts w:asciiTheme="minorHAnsi" w:hAnsiTheme="minorHAnsi" w:cstheme="minorHAnsi"/>
          <w:b/>
          <w:bCs/>
          <w:color w:val="auto"/>
          <w:lang w:val="de-DE"/>
        </w:rPr>
        <w:t>ENERGIE</w:t>
      </w:r>
      <w:bookmarkEnd w:id="20"/>
    </w:p>
    <w:p w14:paraId="6DE5AEDA" w14:textId="1C829F08" w:rsidR="00B92E53" w:rsidRPr="00B2758D" w:rsidRDefault="00B92E53" w:rsidP="00B2758D">
      <w:pPr>
        <w:pStyle w:val="berschrift2"/>
        <w:rPr>
          <w:rFonts w:asciiTheme="minorHAnsi" w:hAnsiTheme="minorHAnsi" w:cstheme="minorHAnsi"/>
          <w:b/>
          <w:bCs/>
          <w:color w:val="auto"/>
          <w:lang w:val="de-DE"/>
        </w:rPr>
      </w:pPr>
      <w:bookmarkStart w:id="21" w:name="_Toc167366303"/>
      <w:r w:rsidRPr="00B2758D">
        <w:rPr>
          <w:rFonts w:asciiTheme="minorHAnsi" w:hAnsiTheme="minorHAnsi" w:cstheme="minorHAnsi"/>
          <w:b/>
          <w:bCs/>
          <w:color w:val="auto"/>
          <w:lang w:val="de-DE"/>
        </w:rPr>
        <w:t>Konsument:innenrechte für Fernwärme verankern</w:t>
      </w:r>
      <w:bookmarkEnd w:id="21"/>
    </w:p>
    <w:p w14:paraId="1F71D0FE" w14:textId="36CB306C" w:rsidR="00B92E53" w:rsidRPr="00B92E53" w:rsidRDefault="00B92E53" w:rsidP="00B92E53">
      <w:pPr>
        <w:rPr>
          <w:rFonts w:cstheme="minorHAnsi"/>
        </w:rPr>
      </w:pPr>
      <w:r w:rsidRPr="00B92E53">
        <w:rPr>
          <w:rFonts w:cstheme="minorHAnsi"/>
        </w:rPr>
        <w:t>Im Gegensatz zu Strom und Gas haben Haushalte bei Fernwärme keine weitergehenden Konsument:innenrechte</w:t>
      </w:r>
      <w:r w:rsidR="000A15AA">
        <w:rPr>
          <w:rFonts w:cstheme="minorHAnsi"/>
        </w:rPr>
        <w:t>. D</w:t>
      </w:r>
      <w:r w:rsidRPr="00B92E53">
        <w:rPr>
          <w:rFonts w:cstheme="minorHAnsi"/>
        </w:rPr>
        <w:t>ie</w:t>
      </w:r>
      <w:r w:rsidR="000A15AA">
        <w:rPr>
          <w:rFonts w:cstheme="minorHAnsi"/>
        </w:rPr>
        <w:t>se</w:t>
      </w:r>
      <w:r w:rsidRPr="00B92E53">
        <w:rPr>
          <w:rFonts w:cstheme="minorHAnsi"/>
        </w:rPr>
        <w:t xml:space="preserve"> </w:t>
      </w:r>
      <w:r w:rsidR="000A15AA">
        <w:rPr>
          <w:rFonts w:cstheme="minorHAnsi"/>
        </w:rPr>
        <w:t xml:space="preserve">sind aber </w:t>
      </w:r>
      <w:r w:rsidRPr="00B92E53">
        <w:rPr>
          <w:rFonts w:cstheme="minorHAnsi"/>
        </w:rPr>
        <w:t>gerade in Hinblick auf die Monopolstellung der Wärmeversorger und der langen Vertragslaufzeiten dringend erforderlich sind</w:t>
      </w:r>
      <w:r w:rsidR="000A15AA">
        <w:rPr>
          <w:rFonts w:cstheme="minorHAnsi"/>
        </w:rPr>
        <w:t>.</w:t>
      </w:r>
    </w:p>
    <w:p w14:paraId="6C6B540C" w14:textId="791141E0" w:rsidR="00B92E53" w:rsidRPr="00B2758D" w:rsidRDefault="00B92E53" w:rsidP="00B2758D">
      <w:pPr>
        <w:pStyle w:val="berschrift2"/>
        <w:rPr>
          <w:rFonts w:asciiTheme="minorHAnsi" w:hAnsiTheme="minorHAnsi" w:cstheme="minorHAnsi"/>
          <w:b/>
          <w:bCs/>
          <w:color w:val="auto"/>
          <w:lang w:val="de-DE"/>
        </w:rPr>
      </w:pPr>
      <w:bookmarkStart w:id="22" w:name="_Toc167366304"/>
      <w:r w:rsidRPr="00B2758D">
        <w:rPr>
          <w:rFonts w:asciiTheme="minorHAnsi" w:hAnsiTheme="minorHAnsi" w:cstheme="minorHAnsi"/>
          <w:b/>
          <w:bCs/>
          <w:color w:val="auto"/>
          <w:lang w:val="de-DE"/>
        </w:rPr>
        <w:t xml:space="preserve">Faire Verteilung der Netzkosten </w:t>
      </w:r>
      <w:r w:rsidR="007B3271">
        <w:rPr>
          <w:rFonts w:asciiTheme="minorHAnsi" w:hAnsiTheme="minorHAnsi" w:cstheme="minorHAnsi"/>
          <w:b/>
          <w:bCs/>
          <w:color w:val="auto"/>
          <w:lang w:val="de-DE"/>
        </w:rPr>
        <w:t xml:space="preserve">für Haushalte </w:t>
      </w:r>
      <w:r w:rsidRPr="00B2758D">
        <w:rPr>
          <w:rFonts w:asciiTheme="minorHAnsi" w:hAnsiTheme="minorHAnsi" w:cstheme="minorHAnsi"/>
          <w:b/>
          <w:bCs/>
          <w:color w:val="auto"/>
          <w:lang w:val="de-DE"/>
        </w:rPr>
        <w:t>bei Strom und Gas</w:t>
      </w:r>
      <w:bookmarkEnd w:id="22"/>
    </w:p>
    <w:p w14:paraId="6C843DE7" w14:textId="19051586" w:rsidR="00B92E53" w:rsidRPr="00B92E53" w:rsidRDefault="00B92E53" w:rsidP="00B92E53">
      <w:pPr>
        <w:rPr>
          <w:rFonts w:cstheme="minorHAnsi"/>
        </w:rPr>
      </w:pPr>
      <w:r w:rsidRPr="00B92E53">
        <w:rPr>
          <w:rFonts w:cstheme="minorHAnsi"/>
        </w:rPr>
        <w:t>Im Strombereich tragen Haushalte über 40 % der Kosten, obwohl sie nur 26 % des Stroms verbrauchen. Mit Minderung der Netzkosten für PV-Betreiber:innen</w:t>
      </w:r>
      <w:r w:rsidR="000A15AA">
        <w:rPr>
          <w:rFonts w:cstheme="minorHAnsi"/>
        </w:rPr>
        <w:t xml:space="preserve"> und </w:t>
      </w:r>
      <w:r w:rsidRPr="00B92E53">
        <w:rPr>
          <w:rFonts w:cstheme="minorHAnsi"/>
        </w:rPr>
        <w:t>Energiegemeinschaften wird die Zahl derer, die den überwiegenden Teil der Netzkosten zu zahlen haben, immer kleiner. Hinzu kommt, dass das Stromnetz in den nächsten Jahren massiv ausgebaut werden muss. Eine Reform der Aufteilung der Netzkosten bei Strom und Gas ist deshalb überfällig</w:t>
      </w:r>
      <w:r w:rsidR="000A15AA">
        <w:rPr>
          <w:rFonts w:cstheme="minorHAnsi"/>
        </w:rPr>
        <w:t>.</w:t>
      </w:r>
    </w:p>
    <w:p w14:paraId="622ADEFA" w14:textId="49F79FF1" w:rsidR="00B92E53" w:rsidRPr="00B2758D" w:rsidRDefault="00B92E53" w:rsidP="00B2758D">
      <w:pPr>
        <w:pStyle w:val="berschrift1"/>
        <w:rPr>
          <w:rFonts w:asciiTheme="minorHAnsi" w:hAnsiTheme="minorHAnsi" w:cstheme="minorHAnsi"/>
          <w:b/>
          <w:bCs/>
          <w:color w:val="auto"/>
          <w:lang w:val="de-DE"/>
        </w:rPr>
      </w:pPr>
      <w:bookmarkStart w:id="23" w:name="_Toc167366305"/>
      <w:r w:rsidRPr="00B2758D">
        <w:rPr>
          <w:rFonts w:asciiTheme="minorHAnsi" w:hAnsiTheme="minorHAnsi" w:cstheme="minorHAnsi"/>
          <w:b/>
          <w:bCs/>
          <w:color w:val="auto"/>
          <w:lang w:val="de-DE"/>
        </w:rPr>
        <w:lastRenderedPageBreak/>
        <w:t>VERKEHR</w:t>
      </w:r>
      <w:bookmarkEnd w:id="23"/>
    </w:p>
    <w:p w14:paraId="21B8FF94" w14:textId="132E65E4" w:rsidR="00B92E53" w:rsidRPr="00B2758D" w:rsidRDefault="00B92E53" w:rsidP="00B2758D">
      <w:pPr>
        <w:pStyle w:val="berschrift2"/>
        <w:rPr>
          <w:rFonts w:asciiTheme="minorHAnsi" w:hAnsiTheme="minorHAnsi" w:cstheme="minorHAnsi"/>
          <w:b/>
          <w:bCs/>
          <w:color w:val="auto"/>
          <w:lang w:val="de-DE"/>
        </w:rPr>
      </w:pPr>
      <w:bookmarkStart w:id="24" w:name="_Toc167366306"/>
      <w:r w:rsidRPr="00B2758D">
        <w:rPr>
          <w:rFonts w:asciiTheme="minorHAnsi" w:hAnsiTheme="minorHAnsi" w:cstheme="minorHAnsi"/>
          <w:b/>
          <w:bCs/>
          <w:color w:val="auto"/>
          <w:lang w:val="de-DE"/>
        </w:rPr>
        <w:t xml:space="preserve">Lkw-Maut </w:t>
      </w:r>
      <w:r w:rsidR="00B96850" w:rsidRPr="00B2758D">
        <w:rPr>
          <w:rFonts w:asciiTheme="minorHAnsi" w:hAnsiTheme="minorHAnsi" w:cstheme="minorHAnsi"/>
          <w:b/>
          <w:bCs/>
          <w:color w:val="auto"/>
          <w:lang w:val="de-DE"/>
        </w:rPr>
        <w:t xml:space="preserve">auch </w:t>
      </w:r>
      <w:r w:rsidRPr="00B2758D">
        <w:rPr>
          <w:rFonts w:asciiTheme="minorHAnsi" w:hAnsiTheme="minorHAnsi" w:cstheme="minorHAnsi"/>
          <w:b/>
          <w:bCs/>
          <w:color w:val="auto"/>
          <w:lang w:val="de-DE"/>
        </w:rPr>
        <w:t>auf Bundesstraßen</w:t>
      </w:r>
      <w:bookmarkEnd w:id="24"/>
    </w:p>
    <w:p w14:paraId="513193AD" w14:textId="18896681" w:rsidR="00B92E53" w:rsidRPr="00B92E53" w:rsidRDefault="00B92E53" w:rsidP="00B92E53">
      <w:pPr>
        <w:rPr>
          <w:rFonts w:cstheme="minorHAnsi"/>
        </w:rPr>
      </w:pPr>
      <w:r w:rsidRPr="00B92E53">
        <w:rPr>
          <w:rFonts w:cstheme="minorHAnsi"/>
        </w:rPr>
        <w:t>Im Gegensatz zum Autobahnnetz müssen Lkw auf Bundesstraßen keine Maut leisten. Gemäß dem Verursacherprinzip braucht es eine Lkw-Maut auch auf Bundesstraßen, um Kostenwahrheit im Verkehr herzustellen</w:t>
      </w:r>
      <w:r w:rsidR="000A15AA">
        <w:rPr>
          <w:rFonts w:cstheme="minorHAnsi"/>
        </w:rPr>
        <w:t>.</w:t>
      </w:r>
    </w:p>
    <w:p w14:paraId="450D2605" w14:textId="167E113D" w:rsidR="00B92E53" w:rsidRPr="00B2758D" w:rsidRDefault="00B92E53" w:rsidP="00B2758D">
      <w:pPr>
        <w:pStyle w:val="berschrift2"/>
        <w:rPr>
          <w:rFonts w:asciiTheme="minorHAnsi" w:hAnsiTheme="minorHAnsi" w:cstheme="minorHAnsi"/>
          <w:b/>
          <w:bCs/>
          <w:color w:val="auto"/>
          <w:lang w:val="de-DE"/>
        </w:rPr>
      </w:pPr>
      <w:bookmarkStart w:id="25" w:name="_Toc167366307"/>
      <w:r w:rsidRPr="00B2758D">
        <w:rPr>
          <w:rFonts w:asciiTheme="minorHAnsi" w:hAnsiTheme="minorHAnsi" w:cstheme="minorHAnsi"/>
          <w:b/>
          <w:bCs/>
          <w:color w:val="auto"/>
          <w:lang w:val="de-DE"/>
        </w:rPr>
        <w:t>Nein zu Gigaliner</w:t>
      </w:r>
      <w:bookmarkEnd w:id="25"/>
    </w:p>
    <w:p w14:paraId="24786CC1" w14:textId="6A2E22B3" w:rsidR="00B92E53" w:rsidRPr="00B92E53" w:rsidRDefault="00B92E53" w:rsidP="00B92E53">
      <w:pPr>
        <w:rPr>
          <w:rFonts w:cstheme="minorHAnsi"/>
        </w:rPr>
      </w:pPr>
      <w:r w:rsidRPr="00B92E53">
        <w:rPr>
          <w:rFonts w:cstheme="minorHAnsi"/>
        </w:rPr>
        <w:t>Auf EU-Ebene ist eine Gesetzesänderung im Gange, überlange Lkw im grenzüberschreitenden Verkehr zuzulassen. Die österreichische Regierung ist aufgefordert, dem Druck ausländischer Frächter nicht nachzugeben und Österreichs Straßen für Gigaliner nicht zu öffnen</w:t>
      </w:r>
      <w:r w:rsidR="000A15AA">
        <w:rPr>
          <w:rFonts w:cstheme="minorHAnsi"/>
        </w:rPr>
        <w:t>.</w:t>
      </w:r>
    </w:p>
    <w:p w14:paraId="45F11858" w14:textId="7A273717" w:rsidR="00B92E53" w:rsidRPr="00B2758D" w:rsidRDefault="00B92E53" w:rsidP="00B2758D">
      <w:pPr>
        <w:pStyle w:val="berschrift1"/>
        <w:rPr>
          <w:rFonts w:asciiTheme="minorHAnsi" w:hAnsiTheme="minorHAnsi" w:cstheme="minorHAnsi"/>
          <w:b/>
          <w:bCs/>
          <w:color w:val="auto"/>
          <w:lang w:val="de-DE"/>
        </w:rPr>
      </w:pPr>
      <w:bookmarkStart w:id="26" w:name="_Toc167366308"/>
      <w:r w:rsidRPr="00B2758D">
        <w:rPr>
          <w:rFonts w:asciiTheme="minorHAnsi" w:hAnsiTheme="minorHAnsi" w:cstheme="minorHAnsi"/>
          <w:b/>
          <w:bCs/>
          <w:color w:val="auto"/>
          <w:lang w:val="de-DE"/>
        </w:rPr>
        <w:t>UMWELT</w:t>
      </w:r>
      <w:bookmarkEnd w:id="26"/>
    </w:p>
    <w:p w14:paraId="4D3FCFAB" w14:textId="456FE414" w:rsidR="00B92E53" w:rsidRPr="00B2758D" w:rsidRDefault="00B92E53" w:rsidP="00B2758D">
      <w:pPr>
        <w:pStyle w:val="berschrift2"/>
        <w:rPr>
          <w:rFonts w:asciiTheme="minorHAnsi" w:hAnsiTheme="minorHAnsi" w:cstheme="minorHAnsi"/>
          <w:b/>
          <w:bCs/>
          <w:color w:val="auto"/>
          <w:lang w:val="de-DE"/>
        </w:rPr>
      </w:pPr>
      <w:bookmarkStart w:id="27" w:name="_Toc167366309"/>
      <w:r w:rsidRPr="00B2758D">
        <w:rPr>
          <w:rFonts w:asciiTheme="minorHAnsi" w:hAnsiTheme="minorHAnsi" w:cstheme="minorHAnsi"/>
          <w:b/>
          <w:bCs/>
          <w:color w:val="auto"/>
          <w:lang w:val="de-DE"/>
        </w:rPr>
        <w:t>Strengere Grenzwerte für Luftqualität</w:t>
      </w:r>
      <w:bookmarkEnd w:id="27"/>
    </w:p>
    <w:p w14:paraId="2FD43F90" w14:textId="06F623F1" w:rsidR="00B92E53" w:rsidRPr="00AF4FDA" w:rsidRDefault="00B92E53" w:rsidP="00B92E53">
      <w:pPr>
        <w:rPr>
          <w:rFonts w:cstheme="minorHAnsi"/>
        </w:rPr>
      </w:pPr>
      <w:r w:rsidRPr="00B92E53">
        <w:rPr>
          <w:rFonts w:cstheme="minorHAnsi"/>
        </w:rPr>
        <w:t>Die vor Abschluss befindliche Verschärfung der EU-Luftqualitätsrichtlinie ist zügig in österreichisches Recht umzusetzen und in der Folge auch nicht Gefahr zu laufen, dass verkehrsbeschränkende Maßnahmen gegenüber dem Lkw-Verkehr in Tirol aufgehoben werden müssen, weil die bisher geltenden Grenzwerte eingehalten werden</w:t>
      </w:r>
      <w:r w:rsidR="000A15AA">
        <w:rPr>
          <w:rFonts w:cstheme="minorHAnsi"/>
        </w:rPr>
        <w:t>.</w:t>
      </w:r>
    </w:p>
    <w:sectPr w:rsidR="00B92E53" w:rsidRPr="00AF4FDA">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916A" w14:textId="77777777" w:rsidR="00810661" w:rsidRDefault="00810661" w:rsidP="00734971">
      <w:pPr>
        <w:spacing w:after="0" w:line="240" w:lineRule="auto"/>
      </w:pPr>
      <w:r>
        <w:separator/>
      </w:r>
    </w:p>
  </w:endnote>
  <w:endnote w:type="continuationSeparator" w:id="0">
    <w:p w14:paraId="4F7D24A7" w14:textId="77777777" w:rsidR="00810661" w:rsidRDefault="00810661" w:rsidP="0073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00096"/>
      <w:docPartObj>
        <w:docPartGallery w:val="Page Numbers (Bottom of Page)"/>
        <w:docPartUnique/>
      </w:docPartObj>
    </w:sdtPr>
    <w:sdtContent>
      <w:p w14:paraId="5FBDDA81" w14:textId="523F74D1" w:rsidR="00734971" w:rsidRDefault="00734971" w:rsidP="00734971">
        <w:pPr>
          <w:pStyle w:val="Fuzeile"/>
          <w:jc w:val="center"/>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D38F" w14:textId="77777777" w:rsidR="00810661" w:rsidRDefault="00810661" w:rsidP="00734971">
      <w:pPr>
        <w:spacing w:after="0" w:line="240" w:lineRule="auto"/>
      </w:pPr>
      <w:r>
        <w:separator/>
      </w:r>
    </w:p>
  </w:footnote>
  <w:footnote w:type="continuationSeparator" w:id="0">
    <w:p w14:paraId="31F050FE" w14:textId="77777777" w:rsidR="00810661" w:rsidRDefault="00810661" w:rsidP="0073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7ADD"/>
    <w:multiLevelType w:val="hybridMultilevel"/>
    <w:tmpl w:val="ABE4CFD8"/>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B557C3"/>
    <w:multiLevelType w:val="hybridMultilevel"/>
    <w:tmpl w:val="DFC40DEC"/>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8812AD"/>
    <w:multiLevelType w:val="hybridMultilevel"/>
    <w:tmpl w:val="715C35F8"/>
    <w:lvl w:ilvl="0" w:tplc="0C070001">
      <w:start w:val="1"/>
      <w:numFmt w:val="bullet"/>
      <w:lvlText w:val=""/>
      <w:lvlJc w:val="left"/>
      <w:pPr>
        <w:ind w:left="1602" w:hanging="360"/>
      </w:pPr>
      <w:rPr>
        <w:rFonts w:ascii="Symbol" w:hAnsi="Symbol" w:hint="default"/>
      </w:rPr>
    </w:lvl>
    <w:lvl w:ilvl="1" w:tplc="0C070003">
      <w:start w:val="1"/>
      <w:numFmt w:val="bullet"/>
      <w:lvlText w:val="o"/>
      <w:lvlJc w:val="left"/>
      <w:pPr>
        <w:ind w:left="2322" w:hanging="360"/>
      </w:pPr>
      <w:rPr>
        <w:rFonts w:ascii="Courier New" w:hAnsi="Courier New" w:cs="Courier New" w:hint="default"/>
      </w:rPr>
    </w:lvl>
    <w:lvl w:ilvl="2" w:tplc="0C070005">
      <w:start w:val="1"/>
      <w:numFmt w:val="bullet"/>
      <w:lvlText w:val=""/>
      <w:lvlJc w:val="left"/>
      <w:pPr>
        <w:ind w:left="3042" w:hanging="360"/>
      </w:pPr>
      <w:rPr>
        <w:rFonts w:ascii="Wingdings" w:hAnsi="Wingdings" w:hint="default"/>
      </w:rPr>
    </w:lvl>
    <w:lvl w:ilvl="3" w:tplc="0C070001">
      <w:start w:val="1"/>
      <w:numFmt w:val="bullet"/>
      <w:lvlText w:val=""/>
      <w:lvlJc w:val="left"/>
      <w:pPr>
        <w:ind w:left="3762" w:hanging="360"/>
      </w:pPr>
      <w:rPr>
        <w:rFonts w:ascii="Symbol" w:hAnsi="Symbol" w:hint="default"/>
      </w:rPr>
    </w:lvl>
    <w:lvl w:ilvl="4" w:tplc="0C070003">
      <w:start w:val="1"/>
      <w:numFmt w:val="bullet"/>
      <w:lvlText w:val="o"/>
      <w:lvlJc w:val="left"/>
      <w:pPr>
        <w:ind w:left="4482" w:hanging="360"/>
      </w:pPr>
      <w:rPr>
        <w:rFonts w:ascii="Courier New" w:hAnsi="Courier New" w:cs="Courier New" w:hint="default"/>
      </w:rPr>
    </w:lvl>
    <w:lvl w:ilvl="5" w:tplc="0C070005">
      <w:start w:val="1"/>
      <w:numFmt w:val="bullet"/>
      <w:lvlText w:val=""/>
      <w:lvlJc w:val="left"/>
      <w:pPr>
        <w:ind w:left="5202" w:hanging="360"/>
      </w:pPr>
      <w:rPr>
        <w:rFonts w:ascii="Wingdings" w:hAnsi="Wingdings" w:hint="default"/>
      </w:rPr>
    </w:lvl>
    <w:lvl w:ilvl="6" w:tplc="0C070001">
      <w:start w:val="1"/>
      <w:numFmt w:val="bullet"/>
      <w:lvlText w:val=""/>
      <w:lvlJc w:val="left"/>
      <w:pPr>
        <w:ind w:left="5922" w:hanging="360"/>
      </w:pPr>
      <w:rPr>
        <w:rFonts w:ascii="Symbol" w:hAnsi="Symbol" w:hint="default"/>
      </w:rPr>
    </w:lvl>
    <w:lvl w:ilvl="7" w:tplc="0C070003">
      <w:start w:val="1"/>
      <w:numFmt w:val="bullet"/>
      <w:lvlText w:val="o"/>
      <w:lvlJc w:val="left"/>
      <w:pPr>
        <w:ind w:left="6642" w:hanging="360"/>
      </w:pPr>
      <w:rPr>
        <w:rFonts w:ascii="Courier New" w:hAnsi="Courier New" w:cs="Courier New" w:hint="default"/>
      </w:rPr>
    </w:lvl>
    <w:lvl w:ilvl="8" w:tplc="0C070005">
      <w:start w:val="1"/>
      <w:numFmt w:val="bullet"/>
      <w:lvlText w:val=""/>
      <w:lvlJc w:val="left"/>
      <w:pPr>
        <w:ind w:left="7362" w:hanging="360"/>
      </w:pPr>
      <w:rPr>
        <w:rFonts w:ascii="Wingdings" w:hAnsi="Wingdings" w:hint="default"/>
      </w:rPr>
    </w:lvl>
  </w:abstractNum>
  <w:abstractNum w:abstractNumId="3" w15:restartNumberingAfterBreak="0">
    <w:nsid w:val="3B100C4B"/>
    <w:multiLevelType w:val="hybridMultilevel"/>
    <w:tmpl w:val="7BDC3DB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54E7726F"/>
    <w:multiLevelType w:val="hybridMultilevel"/>
    <w:tmpl w:val="41FA690E"/>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735091"/>
    <w:multiLevelType w:val="hybridMultilevel"/>
    <w:tmpl w:val="23A26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29468474">
    <w:abstractNumId w:val="1"/>
  </w:num>
  <w:num w:numId="2" w16cid:durableId="325403735">
    <w:abstractNumId w:val="0"/>
  </w:num>
  <w:num w:numId="3" w16cid:durableId="1448618556">
    <w:abstractNumId w:val="4"/>
  </w:num>
  <w:num w:numId="4" w16cid:durableId="127086585">
    <w:abstractNumId w:val="2"/>
  </w:num>
  <w:num w:numId="5" w16cid:durableId="1432434407">
    <w:abstractNumId w:val="2"/>
  </w:num>
  <w:num w:numId="6" w16cid:durableId="652833403">
    <w:abstractNumId w:val="5"/>
  </w:num>
  <w:num w:numId="7" w16cid:durableId="1969123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9B"/>
    <w:rsid w:val="00056472"/>
    <w:rsid w:val="00086B45"/>
    <w:rsid w:val="00095ED5"/>
    <w:rsid w:val="000A15AA"/>
    <w:rsid w:val="000C2A99"/>
    <w:rsid w:val="000C689D"/>
    <w:rsid w:val="000F22AC"/>
    <w:rsid w:val="0017456B"/>
    <w:rsid w:val="001D5E49"/>
    <w:rsid w:val="001E0A89"/>
    <w:rsid w:val="001F0F54"/>
    <w:rsid w:val="00207262"/>
    <w:rsid w:val="0025061C"/>
    <w:rsid w:val="00257EA5"/>
    <w:rsid w:val="002A1C73"/>
    <w:rsid w:val="00366613"/>
    <w:rsid w:val="00385527"/>
    <w:rsid w:val="00394395"/>
    <w:rsid w:val="003A13D2"/>
    <w:rsid w:val="003E6A24"/>
    <w:rsid w:val="00427D9F"/>
    <w:rsid w:val="004C18C5"/>
    <w:rsid w:val="0050600E"/>
    <w:rsid w:val="00507001"/>
    <w:rsid w:val="00513A26"/>
    <w:rsid w:val="00583A14"/>
    <w:rsid w:val="00594989"/>
    <w:rsid w:val="005C1726"/>
    <w:rsid w:val="005D4CB6"/>
    <w:rsid w:val="006602C5"/>
    <w:rsid w:val="00675540"/>
    <w:rsid w:val="00692A94"/>
    <w:rsid w:val="006D5F83"/>
    <w:rsid w:val="006F068D"/>
    <w:rsid w:val="00734971"/>
    <w:rsid w:val="00741827"/>
    <w:rsid w:val="007B3271"/>
    <w:rsid w:val="008009F0"/>
    <w:rsid w:val="00807408"/>
    <w:rsid w:val="00810661"/>
    <w:rsid w:val="0082279A"/>
    <w:rsid w:val="0083155D"/>
    <w:rsid w:val="008845CB"/>
    <w:rsid w:val="00895631"/>
    <w:rsid w:val="008B1D08"/>
    <w:rsid w:val="008C0E4F"/>
    <w:rsid w:val="008E129B"/>
    <w:rsid w:val="0098797D"/>
    <w:rsid w:val="009C1B48"/>
    <w:rsid w:val="009D1934"/>
    <w:rsid w:val="009F110B"/>
    <w:rsid w:val="00A31BE4"/>
    <w:rsid w:val="00A632A5"/>
    <w:rsid w:val="00A877D5"/>
    <w:rsid w:val="00AB63B6"/>
    <w:rsid w:val="00AC70C6"/>
    <w:rsid w:val="00AD350F"/>
    <w:rsid w:val="00AD6E38"/>
    <w:rsid w:val="00AF4FDA"/>
    <w:rsid w:val="00B2758D"/>
    <w:rsid w:val="00B43F0B"/>
    <w:rsid w:val="00B551AC"/>
    <w:rsid w:val="00B62EF7"/>
    <w:rsid w:val="00B71286"/>
    <w:rsid w:val="00B8763F"/>
    <w:rsid w:val="00B92E53"/>
    <w:rsid w:val="00B9660D"/>
    <w:rsid w:val="00B96850"/>
    <w:rsid w:val="00BF3FDD"/>
    <w:rsid w:val="00C15774"/>
    <w:rsid w:val="00C2662C"/>
    <w:rsid w:val="00C8789B"/>
    <w:rsid w:val="00D952CF"/>
    <w:rsid w:val="00DA4323"/>
    <w:rsid w:val="00DE2472"/>
    <w:rsid w:val="00E60FA5"/>
    <w:rsid w:val="00E77C5F"/>
    <w:rsid w:val="00E97D5C"/>
    <w:rsid w:val="00EF4A43"/>
    <w:rsid w:val="00F46E16"/>
    <w:rsid w:val="00F55C46"/>
    <w:rsid w:val="00F612F0"/>
    <w:rsid w:val="00F72A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E176"/>
  <w15:chartTrackingRefBased/>
  <w15:docId w15:val="{3D3297FB-A90A-4079-A19F-6B30D00A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5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75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129B"/>
    <w:pPr>
      <w:ind w:left="720"/>
      <w:contextualSpacing/>
    </w:pPr>
  </w:style>
  <w:style w:type="paragraph" w:styleId="StandardWeb">
    <w:name w:val="Normal (Web)"/>
    <w:basedOn w:val="Standard"/>
    <w:uiPriority w:val="99"/>
    <w:semiHidden/>
    <w:unhideWhenUsed/>
    <w:rsid w:val="00F72A19"/>
    <w:pPr>
      <w:spacing w:before="100" w:beforeAutospacing="1" w:after="100" w:afterAutospacing="1" w:line="240" w:lineRule="auto"/>
    </w:pPr>
    <w:rPr>
      <w:rFonts w:ascii="Calibri" w:hAnsi="Calibri" w:cs="Calibri"/>
      <w:lang w:val="de-DE" w:eastAsia="de-DE"/>
    </w:rPr>
  </w:style>
  <w:style w:type="paragraph" w:styleId="Textkrper2">
    <w:name w:val="Body Text 2"/>
    <w:basedOn w:val="Standard"/>
    <w:link w:val="Textkrper2Zchn"/>
    <w:uiPriority w:val="99"/>
    <w:unhideWhenUsed/>
    <w:rsid w:val="00F72A19"/>
    <w:pPr>
      <w:spacing w:after="0" w:line="360" w:lineRule="auto"/>
    </w:pPr>
    <w:rPr>
      <w:rFonts w:ascii="Arial" w:hAnsi="Arial" w:cs="Arial"/>
      <w:lang w:val="de-DE"/>
    </w:rPr>
  </w:style>
  <w:style w:type="character" w:customStyle="1" w:styleId="Textkrper2Zchn">
    <w:name w:val="Textkörper 2 Zchn"/>
    <w:basedOn w:val="Absatz-Standardschriftart"/>
    <w:link w:val="Textkrper2"/>
    <w:uiPriority w:val="99"/>
    <w:rsid w:val="00F72A19"/>
    <w:rPr>
      <w:rFonts w:ascii="Arial" w:hAnsi="Arial" w:cs="Arial"/>
      <w:lang w:val="de-DE"/>
    </w:rPr>
  </w:style>
  <w:style w:type="character" w:customStyle="1" w:styleId="berschrift1Zchn">
    <w:name w:val="Überschrift 1 Zchn"/>
    <w:basedOn w:val="Absatz-Standardschriftart"/>
    <w:link w:val="berschrift1"/>
    <w:uiPriority w:val="9"/>
    <w:rsid w:val="00B2758D"/>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758D"/>
    <w:rPr>
      <w:rFonts w:asciiTheme="majorHAnsi" w:eastAsiaTheme="majorEastAsia" w:hAnsiTheme="majorHAnsi" w:cstheme="majorBidi"/>
      <w:color w:val="365F91" w:themeColor="accent1" w:themeShade="BF"/>
      <w:sz w:val="26"/>
      <w:szCs w:val="26"/>
    </w:rPr>
  </w:style>
  <w:style w:type="paragraph" w:styleId="Inhaltsverzeichnisberschrift">
    <w:name w:val="TOC Heading"/>
    <w:basedOn w:val="berschrift1"/>
    <w:next w:val="Standard"/>
    <w:uiPriority w:val="39"/>
    <w:unhideWhenUsed/>
    <w:qFormat/>
    <w:rsid w:val="00F612F0"/>
    <w:pPr>
      <w:spacing w:line="259" w:lineRule="auto"/>
      <w:outlineLvl w:val="9"/>
    </w:pPr>
    <w:rPr>
      <w:lang w:eastAsia="de-AT"/>
    </w:rPr>
  </w:style>
  <w:style w:type="paragraph" w:styleId="Verzeichnis1">
    <w:name w:val="toc 1"/>
    <w:basedOn w:val="Standard"/>
    <w:next w:val="Standard"/>
    <w:autoRedefine/>
    <w:uiPriority w:val="39"/>
    <w:unhideWhenUsed/>
    <w:rsid w:val="00F612F0"/>
    <w:pPr>
      <w:tabs>
        <w:tab w:val="right" w:leader="dot" w:pos="9062"/>
      </w:tabs>
      <w:spacing w:after="100"/>
    </w:pPr>
    <w:rPr>
      <w:rFonts w:cstheme="minorHAnsi"/>
      <w:b/>
      <w:bCs/>
      <w:noProof/>
      <w:lang w:val="de-DE"/>
    </w:rPr>
  </w:style>
  <w:style w:type="paragraph" w:styleId="Verzeichnis2">
    <w:name w:val="toc 2"/>
    <w:basedOn w:val="Standard"/>
    <w:next w:val="Standard"/>
    <w:autoRedefine/>
    <w:uiPriority w:val="39"/>
    <w:unhideWhenUsed/>
    <w:rsid w:val="002A1C73"/>
    <w:pPr>
      <w:tabs>
        <w:tab w:val="right" w:leader="dot" w:pos="9062"/>
      </w:tabs>
      <w:spacing w:after="100"/>
      <w:ind w:left="220"/>
    </w:pPr>
    <w:rPr>
      <w:rFonts w:cstheme="minorHAnsi"/>
      <w:noProof/>
      <w:lang w:val="de-DE"/>
    </w:rPr>
  </w:style>
  <w:style w:type="character" w:styleId="Hyperlink">
    <w:name w:val="Hyperlink"/>
    <w:basedOn w:val="Absatz-Standardschriftart"/>
    <w:uiPriority w:val="99"/>
    <w:unhideWhenUsed/>
    <w:rsid w:val="00F612F0"/>
    <w:rPr>
      <w:color w:val="0000FF" w:themeColor="hyperlink"/>
      <w:u w:val="single"/>
    </w:rPr>
  </w:style>
  <w:style w:type="paragraph" w:styleId="Kopfzeile">
    <w:name w:val="header"/>
    <w:basedOn w:val="Standard"/>
    <w:link w:val="KopfzeileZchn"/>
    <w:uiPriority w:val="99"/>
    <w:unhideWhenUsed/>
    <w:rsid w:val="007349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4971"/>
  </w:style>
  <w:style w:type="paragraph" w:styleId="Fuzeile">
    <w:name w:val="footer"/>
    <w:basedOn w:val="Standard"/>
    <w:link w:val="FuzeileZchn"/>
    <w:uiPriority w:val="99"/>
    <w:unhideWhenUsed/>
    <w:rsid w:val="007349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00129">
      <w:bodyDiv w:val="1"/>
      <w:marLeft w:val="0"/>
      <w:marRight w:val="0"/>
      <w:marTop w:val="0"/>
      <w:marBottom w:val="0"/>
      <w:divBdr>
        <w:top w:val="none" w:sz="0" w:space="0" w:color="auto"/>
        <w:left w:val="none" w:sz="0" w:space="0" w:color="auto"/>
        <w:bottom w:val="none" w:sz="0" w:space="0" w:color="auto"/>
        <w:right w:val="none" w:sz="0" w:space="0" w:color="auto"/>
      </w:divBdr>
    </w:div>
    <w:div w:id="1289243389">
      <w:bodyDiv w:val="1"/>
      <w:marLeft w:val="0"/>
      <w:marRight w:val="0"/>
      <w:marTop w:val="0"/>
      <w:marBottom w:val="0"/>
      <w:divBdr>
        <w:top w:val="none" w:sz="0" w:space="0" w:color="auto"/>
        <w:left w:val="none" w:sz="0" w:space="0" w:color="auto"/>
        <w:bottom w:val="none" w:sz="0" w:space="0" w:color="auto"/>
        <w:right w:val="none" w:sz="0" w:space="0" w:color="auto"/>
      </w:divBdr>
    </w:div>
    <w:div w:id="1597401254">
      <w:bodyDiv w:val="1"/>
      <w:marLeft w:val="0"/>
      <w:marRight w:val="0"/>
      <w:marTop w:val="0"/>
      <w:marBottom w:val="0"/>
      <w:divBdr>
        <w:top w:val="none" w:sz="0" w:space="0" w:color="auto"/>
        <w:left w:val="none" w:sz="0" w:space="0" w:color="auto"/>
        <w:bottom w:val="none" w:sz="0" w:space="0" w:color="auto"/>
        <w:right w:val="none" w:sz="0" w:space="0" w:color="auto"/>
      </w:divBdr>
    </w:div>
    <w:div w:id="2100589742">
      <w:bodyDiv w:val="1"/>
      <w:marLeft w:val="0"/>
      <w:marRight w:val="0"/>
      <w:marTop w:val="0"/>
      <w:marBottom w:val="0"/>
      <w:divBdr>
        <w:top w:val="none" w:sz="0" w:space="0" w:color="auto"/>
        <w:left w:val="none" w:sz="0" w:space="0" w:color="auto"/>
        <w:bottom w:val="none" w:sz="0" w:space="0" w:color="auto"/>
        <w:right w:val="none" w:sz="0" w:space="0" w:color="auto"/>
      </w:divBdr>
    </w:div>
    <w:div w:id="21308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orhofer\AppData\Local\Microsoft\Windows\INetCache\Content.MSO\B48BB704.tmp" TargetMode="External"/><Relationship Id="rId13" Type="http://schemas.openxmlformats.org/officeDocument/2006/relationships/hyperlink" Target="file:///C:\Users\Vorhofer\AppData\Local\Microsoft\Windows\INetCache\Content.MSO\B48BB704.tmp" TargetMode="External"/><Relationship Id="rId18" Type="http://schemas.openxmlformats.org/officeDocument/2006/relationships/hyperlink" Target="file:///C:\Users\Vorhofer\AppData\Local\Microsoft\Windows\INetCache\Content.MSO\B48BB704.tmp" TargetMode="External"/><Relationship Id="rId26" Type="http://schemas.openxmlformats.org/officeDocument/2006/relationships/hyperlink" Target="file:///C:\Users\Vorhofer\AppData\Local\Microsoft\Windows\INetCache\Content.MSO\B48BB704.tmp" TargetMode="External"/><Relationship Id="rId3" Type="http://schemas.openxmlformats.org/officeDocument/2006/relationships/styles" Target="styles.xml"/><Relationship Id="rId21" Type="http://schemas.openxmlformats.org/officeDocument/2006/relationships/hyperlink" Target="file:///C:\Users\Vorhofer\AppData\Local\Microsoft\Windows\INetCache\Content.MSO\B48BB704.tmp" TargetMode="External"/><Relationship Id="rId7" Type="http://schemas.openxmlformats.org/officeDocument/2006/relationships/endnotes" Target="endnotes.xml"/><Relationship Id="rId12" Type="http://schemas.openxmlformats.org/officeDocument/2006/relationships/hyperlink" Target="file:///C:\Users\Vorhofer\AppData\Local\Microsoft\Windows\INetCache\Content.MSO\B48BB704.tmp" TargetMode="External"/><Relationship Id="rId17" Type="http://schemas.openxmlformats.org/officeDocument/2006/relationships/hyperlink" Target="file:///C:\Users\Vorhofer\AppData\Local\Microsoft\Windows\INetCache\Content.MSO\B48BB704.tmp" TargetMode="External"/><Relationship Id="rId25" Type="http://schemas.openxmlformats.org/officeDocument/2006/relationships/hyperlink" Target="file:///C:\Users\Vorhofer\AppData\Local\Microsoft\Windows\INetCache\Content.MSO\B48BB704.tmp" TargetMode="External"/><Relationship Id="rId2" Type="http://schemas.openxmlformats.org/officeDocument/2006/relationships/numbering" Target="numbering.xml"/><Relationship Id="rId16" Type="http://schemas.openxmlformats.org/officeDocument/2006/relationships/hyperlink" Target="file:///C:\Users\Vorhofer\AppData\Local\Microsoft\Windows\INetCache\Content.MSO\B48BB704.tmp" TargetMode="External"/><Relationship Id="rId20" Type="http://schemas.openxmlformats.org/officeDocument/2006/relationships/hyperlink" Target="file:///C:\Users\Vorhofer\AppData\Local\Microsoft\Windows\INetCache\Content.MSO\B48BB704.tmp" TargetMode="External"/><Relationship Id="rId29" Type="http://schemas.openxmlformats.org/officeDocument/2006/relationships/hyperlink" Target="file:///C:\Users\Vorhofer\AppData\Local\Microsoft\Windows\INetCache\Content.MSO\B48BB704.t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orhofer\AppData\Local\Microsoft\Windows\INetCache\Content.MSO\B48BB704.tmp" TargetMode="External"/><Relationship Id="rId24" Type="http://schemas.openxmlformats.org/officeDocument/2006/relationships/hyperlink" Target="file:///C:\Users\Vorhofer\AppData\Local\Microsoft\Windows\INetCache\Content.MSO\B48BB704.tm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Vorhofer\AppData\Local\Microsoft\Windows\INetCache\Content.MSO\B48BB704.tmp" TargetMode="External"/><Relationship Id="rId23" Type="http://schemas.openxmlformats.org/officeDocument/2006/relationships/hyperlink" Target="file:///C:\Users\Vorhofer\AppData\Local\Microsoft\Windows\INetCache\Content.MSO\B48BB704.tmp" TargetMode="External"/><Relationship Id="rId28" Type="http://schemas.openxmlformats.org/officeDocument/2006/relationships/hyperlink" Target="file:///C:\Users\Vorhofer\AppData\Local\Microsoft\Windows\INetCache\Content.MSO\B48BB704.tmp" TargetMode="External"/><Relationship Id="rId10" Type="http://schemas.openxmlformats.org/officeDocument/2006/relationships/hyperlink" Target="file:///C:\Users\Vorhofer\AppData\Local\Microsoft\Windows\INetCache\Content.MSO\B48BB704.tmp" TargetMode="External"/><Relationship Id="rId19" Type="http://schemas.openxmlformats.org/officeDocument/2006/relationships/hyperlink" Target="file:///C:\Users\Vorhofer\AppData\Local\Microsoft\Windows\INetCache\Content.MSO\B48BB704.tm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Vorhofer\AppData\Local\Microsoft\Windows\INetCache\Content.MSO\B48BB704.tmp" TargetMode="External"/><Relationship Id="rId14" Type="http://schemas.openxmlformats.org/officeDocument/2006/relationships/hyperlink" Target="file:///C:\Users\Vorhofer\AppData\Local\Microsoft\Windows\INetCache\Content.MSO\B48BB704.tmp" TargetMode="External"/><Relationship Id="rId22" Type="http://schemas.openxmlformats.org/officeDocument/2006/relationships/hyperlink" Target="file:///C:\Users\Vorhofer\AppData\Local\Microsoft\Windows\INetCache\Content.MSO\B48BB704.tmp" TargetMode="External"/><Relationship Id="rId27" Type="http://schemas.openxmlformats.org/officeDocument/2006/relationships/hyperlink" Target="file:///C:\Users\Vorhofer\AppData\Local\Microsoft\Windows\INetCache\Content.MSO\B48BB704.tmp" TargetMode="External"/><Relationship Id="rId3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837A-FDD8-408B-8135-4B773252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1912</Words>
  <Characters>12049</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Tirol Erger, Armin</dc:creator>
  <cp:keywords/>
  <dc:description/>
  <cp:lastModifiedBy>Microsoft Office-Anwender</cp:lastModifiedBy>
  <cp:revision>71</cp:revision>
  <cp:lastPrinted>2024-05-23T12:31:00Z</cp:lastPrinted>
  <dcterms:created xsi:type="dcterms:W3CDTF">2024-05-22T12:25:00Z</dcterms:created>
  <dcterms:modified xsi:type="dcterms:W3CDTF">2024-10-23T08:38:00Z</dcterms:modified>
</cp:coreProperties>
</file>